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0C8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lang w:val="en-US" w:eastAsia="zh-CN"/>
        </w:rPr>
        <w:t>供应商须知</w:t>
      </w:r>
    </w:p>
    <w:p w14:paraId="6BFF02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highlight w:val="none"/>
          <w:lang w:val="en-US" w:eastAsia="zh-CN"/>
        </w:rPr>
      </w:pPr>
    </w:p>
    <w:p w14:paraId="7ACAB0A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第一章 总则</w:t>
      </w:r>
    </w:p>
    <w:p w14:paraId="10F53E6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1.本须知适用于长江资管大厦企业文化展厅建设项目的采购活动，是对公告的补充和细化。</w:t>
      </w:r>
    </w:p>
    <w:p w14:paraId="4F42203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2.供应商应仔细阅读本须知所有内容，按要求编制和递交响应文件。</w:t>
      </w:r>
    </w:p>
    <w:p w14:paraId="06E0134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第二章 供应商资格要求</w:t>
      </w:r>
    </w:p>
    <w:p w14:paraId="2463B2A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响应人必须同时满足以下条件，并提供有效证明文件：</w:t>
      </w:r>
    </w:p>
    <w:p w14:paraId="090C5CB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1.具有独立法人资格，持有有效的营业执照（提供加盖公章的营业执照复印件）；</w:t>
      </w:r>
      <w:r>
        <w:rPr>
          <w:rFonts w:hint="eastAsia" w:ascii="仿宋_GB2312" w:hAnsi="仿宋_GB2312" w:eastAsia="仿宋_GB2312" w:cs="仿宋_GB2312"/>
          <w:bCs w:val="0"/>
          <w:color w:val="auto"/>
          <w:kern w:val="2"/>
          <w:sz w:val="32"/>
          <w:szCs w:val="32"/>
          <w:highlight w:val="none"/>
          <w:lang w:val="en-US" w:eastAsia="zh-CN" w:bidi="ar-SA"/>
        </w:rPr>
        <w:t>具备建筑装饰工程设计专项乙级、建筑装修装饰工程专业承包二级及以上资质（提供资质证书复印件）</w:t>
      </w:r>
      <w:r>
        <w:rPr>
          <w:rFonts w:hint="eastAsia" w:ascii="仿宋" w:hAnsi="仿宋" w:eastAsia="仿宋" w:cs="仿宋"/>
          <w:bCs/>
          <w:color w:val="auto"/>
          <w:sz w:val="32"/>
          <w:szCs w:val="32"/>
          <w:highlight w:val="none"/>
          <w:lang w:val="en-US" w:eastAsia="zh-CN"/>
        </w:rPr>
        <w:t>。</w:t>
      </w:r>
    </w:p>
    <w:p w14:paraId="7E7F85A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2.具有良好的商业信誉和健全的财务会计制度（提供近一年度经审计的财务报表或银行出具的资信证明）。</w:t>
      </w:r>
    </w:p>
    <w:p w14:paraId="179F148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3.具有履行合同所必需的设备、专业技术能力和完善的售后服务体系（提供书面承诺函，承诺函加盖公章）。</w:t>
      </w:r>
    </w:p>
    <w:p w14:paraId="77B5297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4.参加采购活动前三年内，在经营活动中没有重大违法记录（提供书面声明函，声明函加盖公章）。</w:t>
      </w:r>
    </w:p>
    <w:p w14:paraId="5047C78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5.近三年（2023年5月12日至今）有至少1项展厅建设业绩（提供合同关键页复印件）。</w:t>
      </w:r>
    </w:p>
    <w:p w14:paraId="36AAD8B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第三章 评选办法</w:t>
      </w:r>
    </w:p>
    <w:p w14:paraId="378BE8F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1.评选组织：由采购人组建评选小组，负责响应文件的评审。</w:t>
      </w:r>
    </w:p>
    <w:p w14:paraId="3653717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2.评选细则：评选小组将严格按照下表《综合评分细则》进行评审。</w:t>
      </w:r>
      <w:r>
        <w:rPr>
          <w:rFonts w:hint="eastAsia" w:ascii="仿宋_GB2312" w:hAnsi="仿宋_GB2312" w:eastAsia="仿宋_GB2312" w:cs="仿宋_GB2312"/>
          <w:color w:val="auto"/>
          <w:sz w:val="32"/>
          <w:szCs w:val="32"/>
          <w:highlight w:val="none"/>
        </w:rPr>
        <w:t>所有评选小组成员评分的算术平均值为响应供应商的最终得分，分值计算保留小数点后两位。</w:t>
      </w:r>
      <w:r>
        <w:rPr>
          <w:rFonts w:hint="eastAsia" w:ascii="仿宋" w:hAnsi="仿宋" w:eastAsia="仿宋" w:cs="仿宋"/>
          <w:bCs/>
          <w:color w:val="auto"/>
          <w:sz w:val="32"/>
          <w:szCs w:val="32"/>
          <w:highlight w:val="none"/>
          <w:lang w:val="en-US" w:eastAsia="zh-CN"/>
        </w:rPr>
        <w:t>按最终得分从高到低排序，得分最高的供应商为成交候选人。若出现并列最高分，则报价低者优先，报价亦相同，则由评选小组投票决定（报价低于企业成本价的除外）。</w:t>
      </w:r>
    </w:p>
    <w:p w14:paraId="5BC66A7A">
      <w:pPr>
        <w:spacing w:line="600" w:lineRule="exact"/>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评选细则</w:t>
      </w:r>
    </w:p>
    <w:tbl>
      <w:tblPr>
        <w:tblStyle w:val="9"/>
        <w:tblW w:w="8687" w:type="dxa"/>
        <w:tblInd w:w="-55" w:type="dxa"/>
        <w:tblLayout w:type="fixed"/>
        <w:tblCellMar>
          <w:top w:w="0" w:type="dxa"/>
          <w:left w:w="108" w:type="dxa"/>
          <w:bottom w:w="0" w:type="dxa"/>
          <w:right w:w="108" w:type="dxa"/>
        </w:tblCellMar>
      </w:tblPr>
      <w:tblGrid>
        <w:gridCol w:w="912"/>
        <w:gridCol w:w="1337"/>
        <w:gridCol w:w="707"/>
        <w:gridCol w:w="4856"/>
        <w:gridCol w:w="875"/>
      </w:tblGrid>
      <w:tr w14:paraId="424DD971">
        <w:tblPrEx>
          <w:tblCellMar>
            <w:top w:w="0" w:type="dxa"/>
            <w:left w:w="108" w:type="dxa"/>
            <w:bottom w:w="0" w:type="dxa"/>
            <w:right w:w="108" w:type="dxa"/>
          </w:tblCellMar>
        </w:tblPrEx>
        <w:trPr>
          <w:trHeight w:val="385" w:hRule="atLeast"/>
        </w:trPr>
        <w:tc>
          <w:tcPr>
            <w:tcW w:w="912" w:type="dxa"/>
            <w:tcBorders>
              <w:top w:val="single" w:color="auto" w:sz="4" w:space="0"/>
              <w:left w:val="single" w:color="auto" w:sz="4" w:space="0"/>
              <w:bottom w:val="single" w:color="auto" w:sz="4" w:space="0"/>
              <w:right w:val="single" w:color="auto" w:sz="4" w:space="0"/>
            </w:tcBorders>
            <w:noWrap/>
            <w:vAlign w:val="center"/>
          </w:tcPr>
          <w:p w14:paraId="61760032">
            <w:pPr>
              <w:jc w:val="center"/>
              <w:rPr>
                <w:b/>
                <w:color w:val="auto"/>
                <w:highlight w:val="none"/>
              </w:rPr>
            </w:pPr>
            <w:r>
              <w:rPr>
                <w:rFonts w:hint="eastAsia"/>
                <w:b/>
                <w:color w:val="auto"/>
                <w:highlight w:val="none"/>
              </w:rPr>
              <w:t>分类</w:t>
            </w:r>
          </w:p>
        </w:tc>
        <w:tc>
          <w:tcPr>
            <w:tcW w:w="1337" w:type="dxa"/>
            <w:tcBorders>
              <w:top w:val="single" w:color="auto" w:sz="4" w:space="0"/>
              <w:left w:val="nil"/>
              <w:bottom w:val="single" w:color="auto" w:sz="4" w:space="0"/>
              <w:right w:val="single" w:color="auto" w:sz="4" w:space="0"/>
            </w:tcBorders>
            <w:noWrap/>
            <w:vAlign w:val="center"/>
          </w:tcPr>
          <w:p w14:paraId="48478404">
            <w:pPr>
              <w:jc w:val="center"/>
              <w:rPr>
                <w:b/>
                <w:color w:val="auto"/>
                <w:highlight w:val="none"/>
              </w:rPr>
            </w:pPr>
            <w:r>
              <w:rPr>
                <w:rFonts w:hint="eastAsia"/>
                <w:b/>
                <w:color w:val="auto"/>
                <w:highlight w:val="none"/>
              </w:rPr>
              <w:t>评分项</w:t>
            </w:r>
          </w:p>
        </w:tc>
        <w:tc>
          <w:tcPr>
            <w:tcW w:w="707" w:type="dxa"/>
            <w:tcBorders>
              <w:top w:val="single" w:color="auto" w:sz="4" w:space="0"/>
              <w:left w:val="nil"/>
              <w:bottom w:val="single" w:color="auto" w:sz="4" w:space="0"/>
              <w:right w:val="single" w:color="auto" w:sz="4" w:space="0"/>
            </w:tcBorders>
            <w:noWrap/>
            <w:vAlign w:val="center"/>
          </w:tcPr>
          <w:p w14:paraId="4AFC1D77">
            <w:pPr>
              <w:jc w:val="center"/>
              <w:rPr>
                <w:b/>
                <w:color w:val="auto"/>
                <w:highlight w:val="none"/>
              </w:rPr>
            </w:pPr>
            <w:r>
              <w:rPr>
                <w:rFonts w:hint="eastAsia"/>
                <w:b/>
                <w:color w:val="auto"/>
                <w:highlight w:val="none"/>
              </w:rPr>
              <w:t>分值</w:t>
            </w:r>
          </w:p>
        </w:tc>
        <w:tc>
          <w:tcPr>
            <w:tcW w:w="4856" w:type="dxa"/>
            <w:tcBorders>
              <w:top w:val="single" w:color="auto" w:sz="4" w:space="0"/>
              <w:left w:val="nil"/>
              <w:bottom w:val="single" w:color="auto" w:sz="4" w:space="0"/>
              <w:right w:val="single" w:color="auto" w:sz="4" w:space="0"/>
            </w:tcBorders>
            <w:noWrap/>
            <w:vAlign w:val="center"/>
          </w:tcPr>
          <w:p w14:paraId="2C24B36B">
            <w:pPr>
              <w:jc w:val="center"/>
              <w:rPr>
                <w:b/>
                <w:color w:val="auto"/>
                <w:highlight w:val="none"/>
              </w:rPr>
            </w:pPr>
            <w:r>
              <w:rPr>
                <w:rFonts w:hint="eastAsia"/>
                <w:b/>
                <w:color w:val="auto"/>
                <w:highlight w:val="none"/>
              </w:rPr>
              <w:t>评分标准</w:t>
            </w:r>
          </w:p>
        </w:tc>
        <w:tc>
          <w:tcPr>
            <w:tcW w:w="875" w:type="dxa"/>
            <w:tcBorders>
              <w:top w:val="single" w:color="auto" w:sz="4" w:space="0"/>
              <w:left w:val="nil"/>
              <w:bottom w:val="single" w:color="auto" w:sz="4" w:space="0"/>
              <w:right w:val="single" w:color="auto" w:sz="4" w:space="0"/>
            </w:tcBorders>
            <w:noWrap/>
            <w:vAlign w:val="center"/>
          </w:tcPr>
          <w:p w14:paraId="21975EFF">
            <w:pPr>
              <w:jc w:val="center"/>
              <w:rPr>
                <w:b/>
                <w:color w:val="auto"/>
                <w:highlight w:val="none"/>
              </w:rPr>
            </w:pPr>
            <w:r>
              <w:rPr>
                <w:rFonts w:hint="eastAsia"/>
                <w:b/>
                <w:color w:val="auto"/>
                <w:highlight w:val="none"/>
              </w:rPr>
              <w:t>得分</w:t>
            </w:r>
          </w:p>
        </w:tc>
      </w:tr>
      <w:tr w14:paraId="7E9F2C1C">
        <w:tblPrEx>
          <w:tblCellMar>
            <w:top w:w="0" w:type="dxa"/>
            <w:left w:w="108" w:type="dxa"/>
            <w:bottom w:w="0" w:type="dxa"/>
            <w:right w:w="108" w:type="dxa"/>
          </w:tblCellMar>
        </w:tblPrEx>
        <w:trPr>
          <w:trHeight w:val="1464" w:hRule="atLeast"/>
        </w:trPr>
        <w:tc>
          <w:tcPr>
            <w:tcW w:w="912" w:type="dxa"/>
            <w:vMerge w:val="restart"/>
            <w:tcBorders>
              <w:top w:val="nil"/>
              <w:left w:val="single" w:color="auto" w:sz="4" w:space="0"/>
              <w:bottom w:val="single" w:color="000000" w:sz="4" w:space="0"/>
              <w:right w:val="single" w:color="auto" w:sz="4" w:space="0"/>
            </w:tcBorders>
            <w:noWrap w:val="0"/>
            <w:vAlign w:val="center"/>
          </w:tcPr>
          <w:p w14:paraId="3BF35C6A">
            <w:pPr>
              <w:rPr>
                <w:rFonts w:hint="default" w:eastAsiaTheme="minorEastAsia"/>
                <w:b/>
                <w:bCs/>
                <w:color w:val="auto"/>
                <w:highlight w:val="none"/>
                <w:lang w:val="en-US" w:eastAsia="zh-CN"/>
              </w:rPr>
            </w:pPr>
            <w:r>
              <w:rPr>
                <w:rFonts w:hint="eastAsia"/>
                <w:b/>
                <w:bCs/>
                <w:color w:val="auto"/>
                <w:highlight w:val="none"/>
              </w:rPr>
              <w:t>一、</w:t>
            </w:r>
            <w:r>
              <w:rPr>
                <w:rFonts w:hint="eastAsia"/>
                <w:b/>
                <w:bCs/>
                <w:color w:val="auto"/>
                <w:highlight w:val="none"/>
                <w:lang w:val="en-US" w:eastAsia="zh-CN"/>
              </w:rPr>
              <w:t>方案设计和建设标准</w:t>
            </w:r>
          </w:p>
        </w:tc>
        <w:tc>
          <w:tcPr>
            <w:tcW w:w="1337" w:type="dxa"/>
            <w:tcBorders>
              <w:top w:val="nil"/>
              <w:left w:val="nil"/>
              <w:bottom w:val="single" w:color="auto" w:sz="4" w:space="0"/>
              <w:right w:val="single" w:color="auto" w:sz="4" w:space="0"/>
            </w:tcBorders>
            <w:noWrap w:val="0"/>
            <w:vAlign w:val="center"/>
          </w:tcPr>
          <w:p w14:paraId="4A5FB0D0">
            <w:pPr>
              <w:jc w:val="left"/>
              <w:rPr>
                <w:color w:val="auto"/>
                <w:highlight w:val="none"/>
              </w:rPr>
            </w:pPr>
            <w:r>
              <w:rPr>
                <w:rFonts w:hint="eastAsia"/>
                <w:color w:val="auto"/>
                <w:highlight w:val="none"/>
              </w:rPr>
              <w:t>（一）对项目需求的理解与整体方案设计</w:t>
            </w:r>
          </w:p>
        </w:tc>
        <w:tc>
          <w:tcPr>
            <w:tcW w:w="707" w:type="dxa"/>
            <w:tcBorders>
              <w:top w:val="nil"/>
              <w:left w:val="nil"/>
              <w:bottom w:val="single" w:color="auto" w:sz="4" w:space="0"/>
              <w:right w:val="single" w:color="auto" w:sz="4" w:space="0"/>
            </w:tcBorders>
            <w:noWrap/>
            <w:vAlign w:val="center"/>
          </w:tcPr>
          <w:p w14:paraId="02C1FD2F">
            <w:pPr>
              <w:jc w:val="center"/>
              <w:rPr>
                <w:rFonts w:hint="default" w:eastAsia="宋体"/>
                <w:color w:val="auto"/>
                <w:highlight w:val="none"/>
                <w:lang w:val="en-US" w:eastAsia="zh-CN"/>
              </w:rPr>
            </w:pPr>
            <w:r>
              <w:rPr>
                <w:rFonts w:hint="eastAsia"/>
                <w:color w:val="auto"/>
                <w:highlight w:val="none"/>
                <w:lang w:val="en-US" w:eastAsia="zh-CN"/>
              </w:rPr>
              <w:t>18</w:t>
            </w:r>
          </w:p>
        </w:tc>
        <w:tc>
          <w:tcPr>
            <w:tcW w:w="4856" w:type="dxa"/>
            <w:tcBorders>
              <w:top w:val="nil"/>
              <w:left w:val="nil"/>
              <w:bottom w:val="single" w:color="auto" w:sz="4" w:space="0"/>
              <w:right w:val="single" w:color="auto" w:sz="4" w:space="0"/>
            </w:tcBorders>
            <w:noWrap w:val="0"/>
            <w:vAlign w:val="center"/>
          </w:tcPr>
          <w:p w14:paraId="6EB6D317">
            <w:pPr>
              <w:jc w:val="left"/>
              <w:rPr>
                <w:color w:val="auto"/>
                <w:highlight w:val="none"/>
              </w:rPr>
            </w:pPr>
            <w:r>
              <w:rPr>
                <w:rFonts w:hint="eastAsia"/>
                <w:color w:val="auto"/>
                <w:highlight w:val="none"/>
              </w:rPr>
              <w:t>方案完全契合项目目标与原则，布局合理，风格协调，</w:t>
            </w:r>
            <w:r>
              <w:rPr>
                <w:rFonts w:hint="eastAsia"/>
                <w:color w:val="auto"/>
                <w:highlight w:val="none"/>
                <w:lang w:val="en-US" w:eastAsia="zh-CN"/>
              </w:rPr>
              <w:t>提供效果图和施工图，</w:t>
            </w:r>
            <w:r>
              <w:rPr>
                <w:rFonts w:hint="eastAsia"/>
                <w:color w:val="auto"/>
                <w:highlight w:val="none"/>
              </w:rPr>
              <w:t>对功能需求考虑周全，得</w:t>
            </w:r>
            <w:r>
              <w:rPr>
                <w:rFonts w:hint="eastAsia"/>
                <w:color w:val="auto"/>
                <w:highlight w:val="none"/>
                <w:lang w:val="en-US" w:eastAsia="zh-CN"/>
              </w:rPr>
              <w:t>13-18</w:t>
            </w:r>
            <w:r>
              <w:rPr>
                <w:rFonts w:hint="eastAsia"/>
                <w:color w:val="auto"/>
                <w:highlight w:val="none"/>
              </w:rPr>
              <w:t>分；方案较为契合，布局、风格、功能考虑较周全，</w:t>
            </w:r>
            <w:r>
              <w:rPr>
                <w:rFonts w:hint="eastAsia"/>
                <w:color w:val="auto"/>
                <w:highlight w:val="none"/>
                <w:lang w:val="en-US" w:eastAsia="zh-CN"/>
              </w:rPr>
              <w:t>效果图和施工图不完善，</w:t>
            </w:r>
            <w:r>
              <w:rPr>
                <w:rFonts w:hint="eastAsia"/>
                <w:color w:val="auto"/>
                <w:highlight w:val="none"/>
              </w:rPr>
              <w:t>得</w:t>
            </w: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12</w:t>
            </w:r>
            <w:r>
              <w:rPr>
                <w:rFonts w:hint="eastAsia"/>
                <w:color w:val="auto"/>
                <w:highlight w:val="none"/>
              </w:rPr>
              <w:t>分；方案基本契合，但考虑不够细致</w:t>
            </w:r>
            <w:r>
              <w:rPr>
                <w:rFonts w:hint="eastAsia"/>
                <w:color w:val="auto"/>
                <w:highlight w:val="none"/>
                <w:lang w:eastAsia="zh-CN"/>
              </w:rPr>
              <w:t>，</w:t>
            </w:r>
            <w:r>
              <w:rPr>
                <w:rFonts w:hint="eastAsia"/>
                <w:color w:val="auto"/>
                <w:highlight w:val="none"/>
                <w:lang w:val="en-US" w:eastAsia="zh-CN"/>
              </w:rPr>
              <w:t>没有效果图和施工图</w:t>
            </w:r>
            <w:r>
              <w:rPr>
                <w:rFonts w:hint="eastAsia"/>
                <w:color w:val="auto"/>
                <w:highlight w:val="none"/>
              </w:rPr>
              <w:t>，得1-</w:t>
            </w:r>
            <w:r>
              <w:rPr>
                <w:rFonts w:hint="eastAsia"/>
                <w:color w:val="auto"/>
                <w:highlight w:val="none"/>
                <w:lang w:val="en-US" w:eastAsia="zh-CN"/>
              </w:rPr>
              <w:t>6</w:t>
            </w:r>
            <w:r>
              <w:rPr>
                <w:rFonts w:hint="eastAsia"/>
                <w:color w:val="auto"/>
                <w:highlight w:val="none"/>
              </w:rPr>
              <w:t>分。</w:t>
            </w:r>
          </w:p>
        </w:tc>
        <w:tc>
          <w:tcPr>
            <w:tcW w:w="875" w:type="dxa"/>
            <w:tcBorders>
              <w:top w:val="nil"/>
              <w:left w:val="nil"/>
              <w:bottom w:val="single" w:color="auto" w:sz="4" w:space="0"/>
              <w:right w:val="single" w:color="auto" w:sz="4" w:space="0"/>
            </w:tcBorders>
            <w:noWrap/>
            <w:vAlign w:val="center"/>
          </w:tcPr>
          <w:p w14:paraId="28C1AEFE">
            <w:pPr>
              <w:widowControl/>
              <w:spacing w:line="560" w:lineRule="exact"/>
              <w:jc w:val="center"/>
              <w:rPr>
                <w:rFonts w:ascii="仿宋" w:hAnsi="仿宋" w:eastAsia="仿宋" w:cs="宋体"/>
                <w:color w:val="auto"/>
                <w:kern w:val="0"/>
                <w:sz w:val="24"/>
                <w:highlight w:val="none"/>
              </w:rPr>
            </w:pPr>
          </w:p>
        </w:tc>
      </w:tr>
      <w:tr w14:paraId="0CB6FD49">
        <w:tblPrEx>
          <w:tblCellMar>
            <w:top w:w="0" w:type="dxa"/>
            <w:left w:w="108" w:type="dxa"/>
            <w:bottom w:w="0" w:type="dxa"/>
            <w:right w:w="108" w:type="dxa"/>
          </w:tblCellMar>
        </w:tblPrEx>
        <w:trPr>
          <w:trHeight w:val="90" w:hRule="atLeast"/>
        </w:trPr>
        <w:tc>
          <w:tcPr>
            <w:tcW w:w="912" w:type="dxa"/>
            <w:vMerge w:val="continue"/>
            <w:tcBorders>
              <w:top w:val="nil"/>
              <w:left w:val="single" w:color="auto" w:sz="4" w:space="0"/>
              <w:bottom w:val="single" w:color="000000" w:sz="4" w:space="0"/>
              <w:right w:val="single" w:color="auto" w:sz="4" w:space="0"/>
            </w:tcBorders>
            <w:noWrap w:val="0"/>
            <w:vAlign w:val="center"/>
          </w:tcPr>
          <w:p w14:paraId="701B4C90">
            <w:pPr>
              <w:rPr>
                <w:b/>
                <w:bCs/>
                <w:color w:val="auto"/>
                <w:highlight w:val="none"/>
              </w:rPr>
            </w:pPr>
          </w:p>
        </w:tc>
        <w:tc>
          <w:tcPr>
            <w:tcW w:w="1337" w:type="dxa"/>
            <w:tcBorders>
              <w:top w:val="nil"/>
              <w:left w:val="nil"/>
              <w:bottom w:val="single" w:color="auto" w:sz="4" w:space="0"/>
              <w:right w:val="single" w:color="auto" w:sz="4" w:space="0"/>
            </w:tcBorders>
            <w:noWrap w:val="0"/>
            <w:vAlign w:val="center"/>
          </w:tcPr>
          <w:p w14:paraId="7C07C4F6">
            <w:pPr>
              <w:jc w:val="left"/>
              <w:rPr>
                <w:rFonts w:hint="default" w:eastAsiaTheme="minorEastAsia"/>
                <w:color w:val="auto"/>
                <w:highlight w:val="none"/>
                <w:lang w:val="en-US" w:eastAsia="zh-CN"/>
              </w:rPr>
            </w:pPr>
            <w:r>
              <w:rPr>
                <w:rFonts w:hint="eastAsia"/>
                <w:color w:val="auto"/>
                <w:highlight w:val="none"/>
              </w:rPr>
              <w:t>（二）</w:t>
            </w:r>
            <w:r>
              <w:rPr>
                <w:rFonts w:hint="eastAsia"/>
                <w:color w:val="auto"/>
                <w:highlight w:val="none"/>
                <w:lang w:val="en-US" w:eastAsia="zh-CN"/>
              </w:rPr>
              <w:t>建设标准</w:t>
            </w:r>
          </w:p>
        </w:tc>
        <w:tc>
          <w:tcPr>
            <w:tcW w:w="707" w:type="dxa"/>
            <w:tcBorders>
              <w:top w:val="nil"/>
              <w:left w:val="nil"/>
              <w:bottom w:val="single" w:color="auto" w:sz="4" w:space="0"/>
              <w:right w:val="single" w:color="auto" w:sz="4" w:space="0"/>
            </w:tcBorders>
            <w:noWrap/>
            <w:vAlign w:val="center"/>
          </w:tcPr>
          <w:p w14:paraId="6A621490">
            <w:pPr>
              <w:jc w:val="center"/>
              <w:rPr>
                <w:rFonts w:hint="default" w:eastAsiaTheme="minorEastAsia"/>
                <w:color w:val="auto"/>
                <w:highlight w:val="none"/>
                <w:lang w:val="en-US" w:eastAsia="zh-CN"/>
              </w:rPr>
            </w:pPr>
            <w:r>
              <w:rPr>
                <w:rFonts w:hint="eastAsia"/>
                <w:color w:val="auto"/>
                <w:highlight w:val="none"/>
                <w:lang w:val="en-US" w:eastAsia="zh-CN"/>
              </w:rPr>
              <w:t>18</w:t>
            </w:r>
          </w:p>
        </w:tc>
        <w:tc>
          <w:tcPr>
            <w:tcW w:w="4856" w:type="dxa"/>
            <w:tcBorders>
              <w:top w:val="nil"/>
              <w:left w:val="nil"/>
              <w:bottom w:val="single" w:color="auto" w:sz="4" w:space="0"/>
              <w:right w:val="single" w:color="auto" w:sz="4" w:space="0"/>
            </w:tcBorders>
            <w:noWrap w:val="0"/>
            <w:vAlign w:val="center"/>
          </w:tcPr>
          <w:p w14:paraId="2C314848">
            <w:pPr>
              <w:jc w:val="left"/>
              <w:rPr>
                <w:color w:val="auto"/>
                <w:highlight w:val="none"/>
              </w:rPr>
            </w:pPr>
            <w:r>
              <w:rPr>
                <w:rFonts w:hint="eastAsia"/>
                <w:color w:val="auto"/>
                <w:highlight w:val="none"/>
                <w:lang w:val="en-US" w:eastAsia="zh-CN"/>
              </w:rPr>
              <w:t>材质和设备</w:t>
            </w:r>
            <w:r>
              <w:rPr>
                <w:rFonts w:hint="eastAsia"/>
                <w:color w:val="auto"/>
                <w:highlight w:val="none"/>
              </w:rPr>
              <w:t>选型优，工艺</w:t>
            </w:r>
            <w:r>
              <w:rPr>
                <w:rFonts w:hint="eastAsia"/>
                <w:color w:val="auto"/>
                <w:highlight w:val="none"/>
                <w:lang w:val="en-US" w:eastAsia="zh-CN"/>
              </w:rPr>
              <w:t>考究</w:t>
            </w:r>
            <w:r>
              <w:rPr>
                <w:rFonts w:hint="eastAsia"/>
                <w:color w:val="auto"/>
                <w:highlight w:val="none"/>
              </w:rPr>
              <w:t>，得</w:t>
            </w:r>
            <w:r>
              <w:rPr>
                <w:rFonts w:hint="eastAsia"/>
                <w:color w:val="auto"/>
                <w:highlight w:val="none"/>
                <w:lang w:val="en-US" w:eastAsia="zh-CN"/>
              </w:rPr>
              <w:t>13-18</w:t>
            </w:r>
            <w:r>
              <w:rPr>
                <w:rFonts w:hint="eastAsia"/>
                <w:color w:val="auto"/>
                <w:highlight w:val="none"/>
              </w:rPr>
              <w:t>分；选型、材质、工艺良好，得</w:t>
            </w: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12</w:t>
            </w:r>
            <w:r>
              <w:rPr>
                <w:rFonts w:hint="eastAsia"/>
                <w:color w:val="auto"/>
                <w:highlight w:val="none"/>
              </w:rPr>
              <w:t>分；选型、材质、工艺一般，得1-</w:t>
            </w:r>
            <w:r>
              <w:rPr>
                <w:rFonts w:hint="eastAsia"/>
                <w:color w:val="auto"/>
                <w:highlight w:val="none"/>
                <w:lang w:val="en-US" w:eastAsia="zh-CN"/>
              </w:rPr>
              <w:t>6</w:t>
            </w:r>
            <w:r>
              <w:rPr>
                <w:rFonts w:hint="eastAsia"/>
                <w:color w:val="auto"/>
                <w:highlight w:val="none"/>
              </w:rPr>
              <w:t>分。</w:t>
            </w:r>
          </w:p>
        </w:tc>
        <w:tc>
          <w:tcPr>
            <w:tcW w:w="875" w:type="dxa"/>
            <w:tcBorders>
              <w:top w:val="nil"/>
              <w:left w:val="nil"/>
              <w:bottom w:val="single" w:color="auto" w:sz="4" w:space="0"/>
              <w:right w:val="single" w:color="auto" w:sz="4" w:space="0"/>
            </w:tcBorders>
            <w:noWrap/>
            <w:vAlign w:val="center"/>
          </w:tcPr>
          <w:p w14:paraId="1F8CED41">
            <w:pPr>
              <w:widowControl/>
              <w:spacing w:line="560" w:lineRule="exact"/>
              <w:jc w:val="center"/>
              <w:rPr>
                <w:rFonts w:ascii="仿宋" w:hAnsi="仿宋" w:eastAsia="仿宋" w:cs="宋体"/>
                <w:color w:val="auto"/>
                <w:kern w:val="0"/>
                <w:sz w:val="24"/>
                <w:highlight w:val="none"/>
              </w:rPr>
            </w:pPr>
          </w:p>
        </w:tc>
      </w:tr>
      <w:tr w14:paraId="307DB390">
        <w:tblPrEx>
          <w:tblCellMar>
            <w:top w:w="0" w:type="dxa"/>
            <w:left w:w="108" w:type="dxa"/>
            <w:bottom w:w="0" w:type="dxa"/>
            <w:right w:w="108" w:type="dxa"/>
          </w:tblCellMar>
        </w:tblPrEx>
        <w:trPr>
          <w:trHeight w:val="921" w:hRule="atLeast"/>
        </w:trPr>
        <w:tc>
          <w:tcPr>
            <w:tcW w:w="912" w:type="dxa"/>
            <w:tcBorders>
              <w:top w:val="nil"/>
              <w:left w:val="single" w:color="auto" w:sz="4" w:space="0"/>
              <w:bottom w:val="single" w:color="auto" w:sz="4" w:space="0"/>
              <w:right w:val="single" w:color="auto" w:sz="4" w:space="0"/>
            </w:tcBorders>
            <w:noWrap w:val="0"/>
            <w:vAlign w:val="center"/>
          </w:tcPr>
          <w:p w14:paraId="6E9AD857">
            <w:pPr>
              <w:rPr>
                <w:b/>
                <w:bCs/>
                <w:color w:val="auto"/>
                <w:highlight w:val="none"/>
              </w:rPr>
            </w:pPr>
            <w:r>
              <w:rPr>
                <w:rFonts w:hint="eastAsia"/>
                <w:b/>
                <w:bCs/>
                <w:color w:val="auto"/>
                <w:highlight w:val="none"/>
              </w:rPr>
              <w:t>二、项目经验</w:t>
            </w:r>
          </w:p>
        </w:tc>
        <w:tc>
          <w:tcPr>
            <w:tcW w:w="1337" w:type="dxa"/>
            <w:tcBorders>
              <w:top w:val="nil"/>
              <w:left w:val="nil"/>
              <w:bottom w:val="single" w:color="auto" w:sz="4" w:space="0"/>
              <w:right w:val="single" w:color="auto" w:sz="4" w:space="0"/>
            </w:tcBorders>
            <w:noWrap w:val="0"/>
            <w:vAlign w:val="center"/>
          </w:tcPr>
          <w:p w14:paraId="6EB3C24D">
            <w:pPr>
              <w:jc w:val="left"/>
              <w:rPr>
                <w:rFonts w:hint="eastAsia" w:eastAsiaTheme="minorEastAsia"/>
                <w:color w:val="auto"/>
                <w:highlight w:val="none"/>
                <w:lang w:val="en-US" w:eastAsia="zh-CN"/>
              </w:rPr>
            </w:pPr>
            <w:r>
              <w:rPr>
                <w:rFonts w:hint="eastAsia"/>
                <w:color w:val="auto"/>
                <w:highlight w:val="none"/>
                <w:lang w:val="en-US" w:eastAsia="zh-CN"/>
              </w:rPr>
              <w:t>同类</w:t>
            </w:r>
            <w:r>
              <w:rPr>
                <w:rFonts w:hint="eastAsia"/>
                <w:color w:val="auto"/>
                <w:highlight w:val="none"/>
              </w:rPr>
              <w:t>项目</w:t>
            </w:r>
            <w:r>
              <w:rPr>
                <w:rFonts w:hint="eastAsia"/>
                <w:color w:val="auto"/>
                <w:highlight w:val="none"/>
                <w:lang w:val="en-US" w:eastAsia="zh-CN"/>
              </w:rPr>
              <w:t>业绩</w:t>
            </w:r>
          </w:p>
        </w:tc>
        <w:tc>
          <w:tcPr>
            <w:tcW w:w="707" w:type="dxa"/>
            <w:tcBorders>
              <w:top w:val="nil"/>
              <w:left w:val="nil"/>
              <w:bottom w:val="single" w:color="auto" w:sz="4" w:space="0"/>
              <w:right w:val="single" w:color="auto" w:sz="4" w:space="0"/>
            </w:tcBorders>
            <w:noWrap/>
            <w:vAlign w:val="center"/>
          </w:tcPr>
          <w:p w14:paraId="217B59A3">
            <w:pPr>
              <w:jc w:val="center"/>
              <w:rPr>
                <w:rFonts w:hint="default" w:eastAsiaTheme="minorEastAsia"/>
                <w:color w:val="auto"/>
                <w:highlight w:val="none"/>
                <w:lang w:val="en-US" w:eastAsia="zh-CN"/>
              </w:rPr>
            </w:pPr>
            <w:r>
              <w:rPr>
                <w:rFonts w:hint="eastAsia"/>
                <w:color w:val="auto"/>
                <w:highlight w:val="none"/>
                <w:lang w:val="en-US" w:eastAsia="zh-CN"/>
              </w:rPr>
              <w:t>2</w:t>
            </w:r>
          </w:p>
        </w:tc>
        <w:tc>
          <w:tcPr>
            <w:tcW w:w="4856" w:type="dxa"/>
            <w:tcBorders>
              <w:top w:val="nil"/>
              <w:left w:val="nil"/>
              <w:bottom w:val="single" w:color="auto" w:sz="4" w:space="0"/>
              <w:right w:val="single" w:color="auto" w:sz="4" w:space="0"/>
            </w:tcBorders>
            <w:noWrap w:val="0"/>
            <w:vAlign w:val="center"/>
          </w:tcPr>
          <w:p w14:paraId="60395577">
            <w:pPr>
              <w:jc w:val="left"/>
              <w:rPr>
                <w:color w:val="auto"/>
                <w:highlight w:val="none"/>
              </w:rPr>
            </w:pPr>
            <w:r>
              <w:rPr>
                <w:rFonts w:hint="eastAsia"/>
                <w:color w:val="auto"/>
                <w:highlight w:val="none"/>
              </w:rPr>
              <w:t>提供近三年内</w:t>
            </w:r>
            <w:r>
              <w:rPr>
                <w:rFonts w:hint="eastAsia"/>
                <w:color w:val="auto"/>
                <w:highlight w:val="none"/>
                <w:lang w:val="en-US" w:eastAsia="zh-CN"/>
              </w:rPr>
              <w:t>展厅建设</w:t>
            </w:r>
            <w:r>
              <w:rPr>
                <w:rFonts w:hint="eastAsia"/>
                <w:color w:val="auto"/>
                <w:highlight w:val="none"/>
              </w:rPr>
              <w:t>项目合同，每份有效合同得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2</w:t>
            </w:r>
            <w:r>
              <w:rPr>
                <w:rFonts w:hint="eastAsia"/>
                <w:color w:val="auto"/>
                <w:highlight w:val="none"/>
              </w:rPr>
              <w:t>分。</w:t>
            </w:r>
          </w:p>
        </w:tc>
        <w:tc>
          <w:tcPr>
            <w:tcW w:w="875" w:type="dxa"/>
            <w:tcBorders>
              <w:top w:val="nil"/>
              <w:left w:val="nil"/>
              <w:bottom w:val="single" w:color="auto" w:sz="4" w:space="0"/>
              <w:right w:val="single" w:color="auto" w:sz="4" w:space="0"/>
            </w:tcBorders>
            <w:noWrap/>
            <w:vAlign w:val="center"/>
          </w:tcPr>
          <w:p w14:paraId="6068BA66">
            <w:pPr>
              <w:widowControl/>
              <w:spacing w:line="560" w:lineRule="exact"/>
              <w:jc w:val="center"/>
              <w:rPr>
                <w:rFonts w:ascii="仿宋" w:hAnsi="仿宋" w:eastAsia="仿宋" w:cs="宋体"/>
                <w:color w:val="auto"/>
                <w:kern w:val="0"/>
                <w:sz w:val="24"/>
                <w:highlight w:val="none"/>
              </w:rPr>
            </w:pPr>
          </w:p>
        </w:tc>
      </w:tr>
      <w:tr w14:paraId="460DD4CA">
        <w:tblPrEx>
          <w:tblCellMar>
            <w:top w:w="0" w:type="dxa"/>
            <w:left w:w="108" w:type="dxa"/>
            <w:bottom w:w="0" w:type="dxa"/>
            <w:right w:w="108" w:type="dxa"/>
          </w:tblCellMar>
        </w:tblPrEx>
        <w:trPr>
          <w:trHeight w:val="1301" w:hRule="atLeast"/>
        </w:trPr>
        <w:tc>
          <w:tcPr>
            <w:tcW w:w="912" w:type="dxa"/>
            <w:tcBorders>
              <w:top w:val="nil"/>
              <w:left w:val="single" w:color="auto" w:sz="4" w:space="0"/>
              <w:bottom w:val="single" w:color="auto" w:sz="4" w:space="0"/>
              <w:right w:val="single" w:color="auto" w:sz="4" w:space="0"/>
            </w:tcBorders>
            <w:noWrap w:val="0"/>
            <w:vAlign w:val="center"/>
          </w:tcPr>
          <w:p w14:paraId="636A1C1C">
            <w:pPr>
              <w:rPr>
                <w:rFonts w:hint="default" w:eastAsiaTheme="minorEastAsia"/>
                <w:b/>
                <w:bCs/>
                <w:color w:val="auto"/>
                <w:highlight w:val="none"/>
                <w:lang w:val="en-US" w:eastAsia="zh-CN"/>
              </w:rPr>
            </w:pPr>
            <w:r>
              <w:rPr>
                <w:rFonts w:hint="eastAsia"/>
                <w:b/>
                <w:bCs/>
                <w:color w:val="auto"/>
                <w:highlight w:val="none"/>
              </w:rPr>
              <w:t>三、</w:t>
            </w:r>
            <w:r>
              <w:rPr>
                <w:rFonts w:hint="eastAsia"/>
                <w:b/>
                <w:bCs/>
                <w:color w:val="auto"/>
                <w:highlight w:val="none"/>
                <w:lang w:val="en-US" w:eastAsia="zh-CN"/>
              </w:rPr>
              <w:t>售后服务</w:t>
            </w:r>
          </w:p>
        </w:tc>
        <w:tc>
          <w:tcPr>
            <w:tcW w:w="1337" w:type="dxa"/>
            <w:tcBorders>
              <w:top w:val="nil"/>
              <w:left w:val="nil"/>
              <w:bottom w:val="single" w:color="auto" w:sz="4" w:space="0"/>
              <w:right w:val="single" w:color="auto" w:sz="4" w:space="0"/>
            </w:tcBorders>
            <w:noWrap w:val="0"/>
            <w:vAlign w:val="center"/>
          </w:tcPr>
          <w:p w14:paraId="42C45296">
            <w:pPr>
              <w:jc w:val="left"/>
              <w:rPr>
                <w:rFonts w:hint="default" w:eastAsiaTheme="minorEastAsia"/>
                <w:color w:val="auto"/>
                <w:highlight w:val="none"/>
                <w:lang w:val="en-US" w:eastAsia="zh-CN"/>
              </w:rPr>
            </w:pPr>
            <w:r>
              <w:rPr>
                <w:rFonts w:hint="eastAsia"/>
                <w:color w:val="auto"/>
                <w:highlight w:val="none"/>
              </w:rPr>
              <w:t>售后服务方案与承诺</w:t>
            </w:r>
          </w:p>
        </w:tc>
        <w:tc>
          <w:tcPr>
            <w:tcW w:w="707" w:type="dxa"/>
            <w:tcBorders>
              <w:top w:val="nil"/>
              <w:left w:val="nil"/>
              <w:bottom w:val="single" w:color="auto" w:sz="4" w:space="0"/>
              <w:right w:val="single" w:color="auto" w:sz="4" w:space="0"/>
            </w:tcBorders>
            <w:noWrap/>
            <w:vAlign w:val="center"/>
          </w:tcPr>
          <w:p w14:paraId="18A7E255">
            <w:pPr>
              <w:jc w:val="center"/>
              <w:rPr>
                <w:rFonts w:hint="default" w:eastAsiaTheme="minorEastAsia"/>
                <w:color w:val="auto"/>
                <w:highlight w:val="none"/>
                <w:lang w:val="en-US" w:eastAsia="zh-CN"/>
              </w:rPr>
            </w:pPr>
            <w:r>
              <w:rPr>
                <w:rFonts w:hint="eastAsia"/>
                <w:color w:val="auto"/>
                <w:highlight w:val="none"/>
                <w:lang w:val="en-US" w:eastAsia="zh-CN"/>
              </w:rPr>
              <w:t>2</w:t>
            </w:r>
          </w:p>
        </w:tc>
        <w:tc>
          <w:tcPr>
            <w:tcW w:w="4856" w:type="dxa"/>
            <w:tcBorders>
              <w:top w:val="nil"/>
              <w:left w:val="nil"/>
              <w:bottom w:val="single" w:color="auto" w:sz="4" w:space="0"/>
              <w:right w:val="single" w:color="auto" w:sz="4" w:space="0"/>
            </w:tcBorders>
            <w:noWrap w:val="0"/>
            <w:vAlign w:val="center"/>
          </w:tcPr>
          <w:p w14:paraId="090A1C51">
            <w:pPr>
              <w:jc w:val="left"/>
              <w:rPr>
                <w:color w:val="auto"/>
                <w:highlight w:val="none"/>
              </w:rPr>
            </w:pPr>
            <w:r>
              <w:rPr>
                <w:rFonts w:hint="eastAsia"/>
                <w:color w:val="auto"/>
                <w:highlight w:val="none"/>
              </w:rPr>
              <w:t>售后服务体系完善（包含响应时间、维修周期、备件供应等），承诺具体可行，质保期长，得</w:t>
            </w:r>
            <w:r>
              <w:rPr>
                <w:rFonts w:hint="eastAsia"/>
                <w:color w:val="auto"/>
                <w:highlight w:val="none"/>
                <w:lang w:val="en-US" w:eastAsia="zh-CN"/>
              </w:rPr>
              <w:t>2</w:t>
            </w:r>
            <w:r>
              <w:rPr>
                <w:rFonts w:hint="eastAsia"/>
                <w:color w:val="auto"/>
                <w:highlight w:val="none"/>
              </w:rPr>
              <w:t>分；售后服务方案较完善，承诺较具体，得</w:t>
            </w:r>
            <w:r>
              <w:rPr>
                <w:rFonts w:hint="eastAsia"/>
                <w:color w:val="auto"/>
                <w:highlight w:val="none"/>
                <w:lang w:val="en-US" w:eastAsia="zh-CN"/>
              </w:rPr>
              <w:t>1</w:t>
            </w:r>
            <w:r>
              <w:rPr>
                <w:rFonts w:hint="eastAsia"/>
                <w:color w:val="auto"/>
                <w:highlight w:val="none"/>
              </w:rPr>
              <w:t>分；售后服务方案简单，承诺较空泛，得</w:t>
            </w:r>
            <w:r>
              <w:rPr>
                <w:rFonts w:hint="eastAsia"/>
                <w:color w:val="auto"/>
                <w:highlight w:val="none"/>
                <w:lang w:val="en-US" w:eastAsia="zh-CN"/>
              </w:rPr>
              <w:t>0</w:t>
            </w:r>
            <w:r>
              <w:rPr>
                <w:rFonts w:hint="eastAsia"/>
                <w:color w:val="auto"/>
                <w:highlight w:val="none"/>
              </w:rPr>
              <w:t>分。</w:t>
            </w:r>
          </w:p>
        </w:tc>
        <w:tc>
          <w:tcPr>
            <w:tcW w:w="875" w:type="dxa"/>
            <w:tcBorders>
              <w:top w:val="nil"/>
              <w:left w:val="nil"/>
              <w:bottom w:val="single" w:color="auto" w:sz="4" w:space="0"/>
              <w:right w:val="single" w:color="auto" w:sz="4" w:space="0"/>
            </w:tcBorders>
            <w:noWrap/>
            <w:vAlign w:val="center"/>
          </w:tcPr>
          <w:p w14:paraId="77A1257F">
            <w:pPr>
              <w:widowControl/>
              <w:spacing w:line="560" w:lineRule="exact"/>
              <w:jc w:val="center"/>
              <w:rPr>
                <w:rFonts w:ascii="仿宋" w:hAnsi="仿宋" w:eastAsia="仿宋" w:cs="宋体"/>
                <w:color w:val="auto"/>
                <w:kern w:val="0"/>
                <w:sz w:val="24"/>
                <w:highlight w:val="none"/>
              </w:rPr>
            </w:pPr>
          </w:p>
        </w:tc>
      </w:tr>
      <w:tr w14:paraId="6B4AA40D">
        <w:tblPrEx>
          <w:tblCellMar>
            <w:top w:w="0" w:type="dxa"/>
            <w:left w:w="108" w:type="dxa"/>
            <w:bottom w:w="0" w:type="dxa"/>
            <w:right w:w="108" w:type="dxa"/>
          </w:tblCellMar>
        </w:tblPrEx>
        <w:trPr>
          <w:trHeight w:val="1685" w:hRule="atLeast"/>
        </w:trPr>
        <w:tc>
          <w:tcPr>
            <w:tcW w:w="912" w:type="dxa"/>
            <w:tcBorders>
              <w:top w:val="nil"/>
              <w:left w:val="single" w:color="auto" w:sz="4" w:space="0"/>
              <w:bottom w:val="single" w:color="auto" w:sz="4" w:space="0"/>
              <w:right w:val="single" w:color="auto" w:sz="4" w:space="0"/>
            </w:tcBorders>
            <w:noWrap/>
            <w:vAlign w:val="center"/>
          </w:tcPr>
          <w:p w14:paraId="6BF39BAC">
            <w:pPr>
              <w:rPr>
                <w:b/>
                <w:bCs/>
                <w:color w:val="auto"/>
                <w:highlight w:val="none"/>
              </w:rPr>
            </w:pPr>
            <w:r>
              <w:rPr>
                <w:rFonts w:hint="eastAsia"/>
                <w:b/>
                <w:bCs/>
                <w:color w:val="auto"/>
                <w:highlight w:val="none"/>
              </w:rPr>
              <w:t>四、价格</w:t>
            </w:r>
          </w:p>
        </w:tc>
        <w:tc>
          <w:tcPr>
            <w:tcW w:w="1337" w:type="dxa"/>
            <w:tcBorders>
              <w:top w:val="nil"/>
              <w:left w:val="nil"/>
              <w:bottom w:val="single" w:color="auto" w:sz="4" w:space="0"/>
              <w:right w:val="single" w:color="auto" w:sz="4" w:space="0"/>
            </w:tcBorders>
            <w:noWrap/>
            <w:vAlign w:val="center"/>
          </w:tcPr>
          <w:p w14:paraId="39329CBE">
            <w:pPr>
              <w:jc w:val="left"/>
              <w:rPr>
                <w:color w:val="auto"/>
                <w:highlight w:val="none"/>
              </w:rPr>
            </w:pPr>
            <w:r>
              <w:rPr>
                <w:rFonts w:hint="eastAsia"/>
                <w:color w:val="auto"/>
                <w:highlight w:val="none"/>
              </w:rPr>
              <w:t>费用报价</w:t>
            </w:r>
          </w:p>
        </w:tc>
        <w:tc>
          <w:tcPr>
            <w:tcW w:w="707" w:type="dxa"/>
            <w:tcBorders>
              <w:top w:val="nil"/>
              <w:left w:val="nil"/>
              <w:bottom w:val="single" w:color="auto" w:sz="4" w:space="0"/>
              <w:right w:val="single" w:color="auto" w:sz="4" w:space="0"/>
            </w:tcBorders>
            <w:noWrap/>
            <w:vAlign w:val="center"/>
          </w:tcPr>
          <w:p w14:paraId="3E1B812E">
            <w:pPr>
              <w:jc w:val="center"/>
              <w:rPr>
                <w:rFonts w:hint="default"/>
                <w:color w:val="auto"/>
                <w:highlight w:val="none"/>
                <w:lang w:val="en-US"/>
              </w:rPr>
            </w:pPr>
            <w:r>
              <w:rPr>
                <w:rFonts w:hint="eastAsia"/>
                <w:color w:val="auto"/>
                <w:highlight w:val="none"/>
                <w:lang w:val="en-US" w:eastAsia="zh-CN"/>
              </w:rPr>
              <w:t>60</w:t>
            </w:r>
          </w:p>
        </w:tc>
        <w:tc>
          <w:tcPr>
            <w:tcW w:w="4856" w:type="dxa"/>
            <w:tcBorders>
              <w:top w:val="nil"/>
              <w:left w:val="nil"/>
              <w:bottom w:val="single" w:color="auto" w:sz="4" w:space="0"/>
              <w:right w:val="single" w:color="auto" w:sz="4" w:space="0"/>
            </w:tcBorders>
            <w:noWrap w:val="0"/>
            <w:vAlign w:val="center"/>
          </w:tcPr>
          <w:p w14:paraId="044DDE11">
            <w:pPr>
              <w:jc w:val="left"/>
              <w:rPr>
                <w:rFonts w:hint="eastAsia" w:ascii="宋体" w:hAnsi="宋体" w:cs="Arial"/>
                <w:color w:val="auto"/>
                <w:sz w:val="21"/>
                <w:szCs w:val="21"/>
                <w:lang w:eastAsia="zh-CN"/>
              </w:rPr>
            </w:pPr>
            <w:r>
              <w:rPr>
                <w:rFonts w:hint="eastAsia" w:ascii="宋体" w:hAnsi="宋体" w:cs="Arial"/>
                <w:color w:val="auto"/>
                <w:sz w:val="21"/>
                <w:szCs w:val="21"/>
                <w:lang w:eastAsia="zh-CN"/>
              </w:rPr>
              <w:t>（1）评标基准价计算方法:</w:t>
            </w:r>
          </w:p>
          <w:p w14:paraId="3EBD0CC3">
            <w:pPr>
              <w:jc w:val="left"/>
              <w:rPr>
                <w:rFonts w:hint="eastAsia" w:ascii="宋体" w:hAnsi="宋体" w:cs="Arial"/>
                <w:color w:val="auto"/>
                <w:sz w:val="21"/>
                <w:szCs w:val="21"/>
                <w:lang w:eastAsia="zh-CN"/>
              </w:rPr>
            </w:pPr>
            <w:r>
              <w:rPr>
                <w:rFonts w:hint="eastAsia" w:ascii="宋体" w:hAnsi="宋体" w:cs="Arial"/>
                <w:color w:val="auto"/>
                <w:sz w:val="21"/>
                <w:szCs w:val="21"/>
                <w:lang w:eastAsia="zh-CN"/>
              </w:rPr>
              <w:t>1）如果通过初步评审的供应商大于等于5家，则：</w:t>
            </w:r>
          </w:p>
          <w:p w14:paraId="42A3C51D">
            <w:pPr>
              <w:jc w:val="left"/>
              <w:rPr>
                <w:rFonts w:hint="eastAsia" w:ascii="宋体" w:hAnsi="宋体" w:cs="Arial"/>
                <w:color w:val="auto"/>
                <w:sz w:val="21"/>
                <w:szCs w:val="21"/>
                <w:lang w:eastAsia="zh-CN"/>
              </w:rPr>
            </w:pPr>
            <w:r>
              <w:rPr>
                <w:rFonts w:hint="eastAsia" w:ascii="宋体" w:hAnsi="宋体" w:cs="Arial"/>
                <w:color w:val="auto"/>
                <w:sz w:val="21"/>
                <w:szCs w:val="21"/>
                <w:lang w:eastAsia="zh-CN"/>
              </w:rPr>
              <w:t>评标基准价=通过初步评审的供应商中去掉一个最高报价和一个最低报价以后的各供应商报价的算术平均值。</w:t>
            </w:r>
          </w:p>
          <w:p w14:paraId="392FA0D9">
            <w:pPr>
              <w:jc w:val="left"/>
              <w:rPr>
                <w:rFonts w:hint="eastAsia" w:ascii="宋体" w:hAnsi="宋体" w:cs="Arial"/>
                <w:color w:val="auto"/>
                <w:sz w:val="21"/>
                <w:szCs w:val="21"/>
                <w:lang w:eastAsia="zh-CN"/>
              </w:rPr>
            </w:pPr>
            <w:r>
              <w:rPr>
                <w:rFonts w:hint="eastAsia" w:ascii="宋体" w:hAnsi="宋体" w:cs="Arial"/>
                <w:color w:val="auto"/>
                <w:sz w:val="21"/>
                <w:szCs w:val="21"/>
                <w:lang w:eastAsia="zh-CN"/>
              </w:rPr>
              <w:t>2）如果通过初步评审的供应商少于5家，则：评标基准价=所有通过初步评审的供应商报价的算术平均值。</w:t>
            </w:r>
          </w:p>
          <w:p w14:paraId="2DD1E255">
            <w:pPr>
              <w:jc w:val="left"/>
              <w:rPr>
                <w:rFonts w:hint="eastAsia" w:ascii="宋体" w:hAnsi="宋体" w:cs="Arial"/>
                <w:color w:val="auto"/>
                <w:sz w:val="21"/>
                <w:szCs w:val="21"/>
                <w:lang w:eastAsia="zh-CN"/>
              </w:rPr>
            </w:pPr>
            <w:r>
              <w:rPr>
                <w:rFonts w:hint="eastAsia" w:ascii="宋体" w:hAnsi="宋体" w:cs="Arial"/>
                <w:color w:val="auto"/>
                <w:sz w:val="21"/>
                <w:szCs w:val="21"/>
                <w:lang w:eastAsia="zh-CN"/>
              </w:rPr>
              <w:t>（2）价格分计算</w:t>
            </w:r>
          </w:p>
          <w:p w14:paraId="490F28F1">
            <w:pPr>
              <w:jc w:val="left"/>
              <w:rPr>
                <w:rFonts w:hint="eastAsia" w:ascii="宋体" w:hAnsi="宋体" w:cs="Arial"/>
                <w:color w:val="auto"/>
                <w:sz w:val="21"/>
                <w:szCs w:val="21"/>
                <w:lang w:eastAsia="zh-CN"/>
              </w:rPr>
            </w:pPr>
            <w:r>
              <w:rPr>
                <w:rFonts w:hint="eastAsia" w:ascii="宋体" w:hAnsi="宋体" w:cs="Arial"/>
                <w:color w:val="auto"/>
                <w:sz w:val="21"/>
                <w:szCs w:val="21"/>
                <w:lang w:eastAsia="zh-CN"/>
              </w:rPr>
              <w:t>1）投标报价等于评标基准价的，得满分</w:t>
            </w:r>
            <w:r>
              <w:rPr>
                <w:rFonts w:hint="eastAsia" w:ascii="宋体" w:hAnsi="宋体" w:cs="Arial"/>
                <w:color w:val="auto"/>
                <w:sz w:val="21"/>
                <w:szCs w:val="21"/>
                <w:lang w:val="en-US" w:eastAsia="zh-CN"/>
              </w:rPr>
              <w:t>60</w:t>
            </w:r>
            <w:r>
              <w:rPr>
                <w:rFonts w:hint="eastAsia" w:ascii="宋体" w:hAnsi="宋体" w:cs="Arial"/>
                <w:color w:val="auto"/>
                <w:sz w:val="21"/>
                <w:szCs w:val="21"/>
                <w:lang w:eastAsia="zh-CN"/>
              </w:rPr>
              <w:t>分；每高于或低于评标基价1%的，扣</w:t>
            </w:r>
            <w:r>
              <w:rPr>
                <w:rFonts w:hint="eastAsia" w:ascii="宋体" w:hAnsi="宋体" w:cs="Arial"/>
                <w:color w:val="auto"/>
                <w:sz w:val="21"/>
                <w:szCs w:val="21"/>
                <w:lang w:val="en-US" w:eastAsia="zh-CN"/>
              </w:rPr>
              <w:t>1</w:t>
            </w:r>
            <w:r>
              <w:rPr>
                <w:rFonts w:hint="eastAsia" w:ascii="宋体" w:hAnsi="宋体" w:cs="Arial"/>
                <w:color w:val="auto"/>
                <w:sz w:val="21"/>
                <w:szCs w:val="21"/>
                <w:lang w:eastAsia="zh-CN"/>
              </w:rPr>
              <w:t>分，最多扣</w:t>
            </w:r>
            <w:r>
              <w:rPr>
                <w:rFonts w:hint="eastAsia" w:ascii="宋体" w:hAnsi="宋体" w:cs="Arial"/>
                <w:color w:val="auto"/>
                <w:sz w:val="21"/>
                <w:szCs w:val="21"/>
                <w:lang w:val="en-US" w:eastAsia="zh-CN"/>
              </w:rPr>
              <w:t>60</w:t>
            </w:r>
            <w:r>
              <w:rPr>
                <w:rFonts w:hint="eastAsia" w:ascii="宋体" w:hAnsi="宋体" w:cs="Arial"/>
                <w:color w:val="auto"/>
                <w:sz w:val="21"/>
                <w:szCs w:val="21"/>
                <w:lang w:eastAsia="zh-CN"/>
              </w:rPr>
              <w:t xml:space="preserve">分。 </w:t>
            </w:r>
          </w:p>
          <w:p w14:paraId="52837F07">
            <w:pPr>
              <w:jc w:val="left"/>
              <w:rPr>
                <w:color w:val="auto"/>
                <w:highlight w:val="none"/>
              </w:rPr>
            </w:pPr>
            <w:r>
              <w:rPr>
                <w:rFonts w:hint="eastAsia" w:ascii="宋体" w:hAnsi="宋体" w:cs="Arial"/>
                <w:color w:val="auto"/>
                <w:sz w:val="21"/>
                <w:szCs w:val="21"/>
                <w:lang w:eastAsia="zh-CN"/>
              </w:rPr>
              <w:t>2）各供应商报价得分=</w:t>
            </w:r>
            <w:r>
              <w:rPr>
                <w:rFonts w:hint="eastAsia" w:ascii="宋体" w:hAnsi="宋体" w:cs="Arial"/>
                <w:color w:val="auto"/>
                <w:sz w:val="21"/>
                <w:szCs w:val="21"/>
                <w:lang w:val="en-US" w:eastAsia="zh-CN"/>
              </w:rPr>
              <w:t>60</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w:t>
            </w:r>
            <w:r>
              <w:rPr>
                <w:rFonts w:hint="eastAsia" w:ascii="宋体" w:hAnsi="宋体" w:cs="Arial"/>
                <w:color w:val="auto"/>
                <w:sz w:val="21"/>
                <w:szCs w:val="21"/>
                <w:lang w:eastAsia="zh-CN"/>
              </w:rPr>
              <w:t>投标报价-评标基准价</w:t>
            </w:r>
            <w:r>
              <w:rPr>
                <w:rFonts w:hint="eastAsia" w:ascii="宋体" w:hAnsi="宋体" w:cs="Arial"/>
                <w:color w:val="auto"/>
                <w:sz w:val="21"/>
                <w:szCs w:val="21"/>
                <w:lang w:val="en-US" w:eastAsia="zh-CN"/>
              </w:rPr>
              <w:t>|</w:t>
            </w:r>
            <w:r>
              <w:rPr>
                <w:rFonts w:hint="eastAsia" w:ascii="宋体" w:hAnsi="宋体" w:cs="Arial"/>
                <w:color w:val="auto"/>
                <w:sz w:val="21"/>
                <w:szCs w:val="21"/>
                <w:lang w:eastAsia="zh-CN"/>
              </w:rPr>
              <w:t>/评标基准价*100*</w:t>
            </w:r>
            <w:r>
              <w:rPr>
                <w:rFonts w:hint="eastAsia" w:ascii="宋体" w:hAnsi="宋体" w:cs="Arial"/>
                <w:color w:val="auto"/>
                <w:sz w:val="21"/>
                <w:szCs w:val="21"/>
                <w:lang w:val="en-US" w:eastAsia="zh-CN"/>
              </w:rPr>
              <w:t>1</w:t>
            </w:r>
          </w:p>
        </w:tc>
        <w:tc>
          <w:tcPr>
            <w:tcW w:w="875" w:type="dxa"/>
            <w:tcBorders>
              <w:top w:val="nil"/>
              <w:left w:val="nil"/>
              <w:bottom w:val="single" w:color="auto" w:sz="4" w:space="0"/>
              <w:right w:val="single" w:color="auto" w:sz="4" w:space="0"/>
            </w:tcBorders>
            <w:noWrap/>
            <w:vAlign w:val="center"/>
          </w:tcPr>
          <w:p w14:paraId="6C072F93">
            <w:pPr>
              <w:widowControl/>
              <w:spacing w:line="560" w:lineRule="exact"/>
              <w:jc w:val="center"/>
              <w:rPr>
                <w:rFonts w:ascii="仿宋" w:hAnsi="仿宋" w:eastAsia="仿宋" w:cs="宋体"/>
                <w:color w:val="auto"/>
                <w:kern w:val="0"/>
                <w:sz w:val="24"/>
                <w:highlight w:val="none"/>
              </w:rPr>
            </w:pPr>
          </w:p>
        </w:tc>
      </w:tr>
      <w:tr w14:paraId="43D8386D">
        <w:tblPrEx>
          <w:tblCellMar>
            <w:top w:w="0" w:type="dxa"/>
            <w:left w:w="108" w:type="dxa"/>
            <w:bottom w:w="0" w:type="dxa"/>
            <w:right w:w="108" w:type="dxa"/>
          </w:tblCellMar>
        </w:tblPrEx>
        <w:trPr>
          <w:trHeight w:val="722" w:hRule="atLeast"/>
        </w:trPr>
        <w:tc>
          <w:tcPr>
            <w:tcW w:w="2249" w:type="dxa"/>
            <w:gridSpan w:val="2"/>
            <w:tcBorders>
              <w:top w:val="single" w:color="auto" w:sz="4" w:space="0"/>
              <w:left w:val="single" w:color="auto" w:sz="4" w:space="0"/>
              <w:bottom w:val="single" w:color="auto" w:sz="4" w:space="0"/>
              <w:right w:val="single" w:color="000000" w:sz="4" w:space="0"/>
            </w:tcBorders>
            <w:noWrap/>
            <w:vAlign w:val="center"/>
          </w:tcPr>
          <w:p w14:paraId="55AF86F5">
            <w:pPr>
              <w:widowControl/>
              <w:spacing w:line="300" w:lineRule="exact"/>
              <w:jc w:val="center"/>
              <w:rPr>
                <w:rFonts w:ascii="仿宋" w:hAnsi="仿宋" w:eastAsia="仿宋" w:cs="宋体"/>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合计</w:t>
            </w:r>
          </w:p>
        </w:tc>
        <w:tc>
          <w:tcPr>
            <w:tcW w:w="707" w:type="dxa"/>
            <w:tcBorders>
              <w:top w:val="nil"/>
              <w:left w:val="nil"/>
              <w:bottom w:val="single" w:color="auto" w:sz="4" w:space="0"/>
              <w:right w:val="single" w:color="auto" w:sz="4" w:space="0"/>
            </w:tcBorders>
            <w:noWrap/>
            <w:vAlign w:val="center"/>
          </w:tcPr>
          <w:p w14:paraId="6C5E3884">
            <w:pPr>
              <w:widowControl/>
              <w:spacing w:line="30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100</w:t>
            </w:r>
          </w:p>
        </w:tc>
        <w:tc>
          <w:tcPr>
            <w:tcW w:w="4856" w:type="dxa"/>
            <w:tcBorders>
              <w:top w:val="nil"/>
              <w:left w:val="nil"/>
              <w:bottom w:val="single" w:color="auto" w:sz="4" w:space="0"/>
              <w:right w:val="single" w:color="auto" w:sz="4" w:space="0"/>
            </w:tcBorders>
            <w:noWrap/>
            <w:vAlign w:val="center"/>
          </w:tcPr>
          <w:p w14:paraId="34935C7C">
            <w:pPr>
              <w:widowControl/>
              <w:spacing w:line="300" w:lineRule="exact"/>
              <w:jc w:val="center"/>
              <w:rPr>
                <w:rFonts w:ascii="仿宋" w:hAnsi="仿宋" w:eastAsia="仿宋" w:cs="宋体"/>
                <w:color w:val="auto"/>
                <w:kern w:val="0"/>
                <w:sz w:val="24"/>
                <w:highlight w:val="none"/>
              </w:rPr>
            </w:pPr>
          </w:p>
        </w:tc>
        <w:tc>
          <w:tcPr>
            <w:tcW w:w="875" w:type="dxa"/>
            <w:tcBorders>
              <w:top w:val="nil"/>
              <w:left w:val="nil"/>
              <w:bottom w:val="single" w:color="auto" w:sz="4" w:space="0"/>
              <w:right w:val="single" w:color="auto" w:sz="4" w:space="0"/>
            </w:tcBorders>
            <w:noWrap/>
            <w:vAlign w:val="center"/>
          </w:tcPr>
          <w:p w14:paraId="593C3B5E">
            <w:pPr>
              <w:widowControl/>
              <w:spacing w:line="560" w:lineRule="exact"/>
              <w:jc w:val="center"/>
              <w:rPr>
                <w:rFonts w:ascii="仿宋" w:hAnsi="仿宋" w:eastAsia="仿宋" w:cs="宋体"/>
                <w:color w:val="auto"/>
                <w:kern w:val="0"/>
                <w:sz w:val="24"/>
                <w:highlight w:val="none"/>
              </w:rPr>
            </w:pPr>
          </w:p>
        </w:tc>
      </w:tr>
    </w:tbl>
    <w:p w14:paraId="5B70908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第四章 响应文件编制要求</w:t>
      </w:r>
    </w:p>
    <w:p w14:paraId="10E5328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1.文件组成：响应文件建议提供目录、标注页码并按顺序装订，须包含但不限于以下部分，：</w:t>
      </w:r>
    </w:p>
    <w:p w14:paraId="0331F5D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第一部分：资格证明文件（对应第二章要求）。</w:t>
      </w:r>
    </w:p>
    <w:p w14:paraId="6E92A57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第二部分：设计方案（包含效果图、施工图和相关介绍）。</w:t>
      </w:r>
    </w:p>
    <w:p w14:paraId="2B9838D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第三部分：商务部分（含</w:t>
      </w:r>
      <w:r>
        <w:rPr>
          <w:rFonts w:hint="eastAsia" w:ascii="仿宋" w:hAnsi="仿宋" w:eastAsia="仿宋" w:cs="仿宋"/>
          <w:b/>
          <w:bCs w:val="0"/>
          <w:color w:val="auto"/>
          <w:sz w:val="32"/>
          <w:szCs w:val="32"/>
          <w:highlight w:val="none"/>
          <w:lang w:val="en-US" w:eastAsia="zh-CN"/>
        </w:rPr>
        <w:t>报价表</w:t>
      </w:r>
      <w:r>
        <w:rPr>
          <w:rFonts w:hint="eastAsia" w:ascii="仿宋" w:hAnsi="仿宋" w:eastAsia="仿宋" w:cs="仿宋"/>
          <w:bCs/>
          <w:color w:val="auto"/>
          <w:sz w:val="32"/>
          <w:szCs w:val="32"/>
          <w:highlight w:val="none"/>
          <w:lang w:val="en-US" w:eastAsia="zh-CN"/>
        </w:rPr>
        <w:t>、对</w:t>
      </w:r>
      <w:r>
        <w:rPr>
          <w:rFonts w:hint="eastAsia" w:ascii="仿宋" w:hAnsi="仿宋" w:eastAsia="仿宋" w:cs="仿宋"/>
          <w:b/>
          <w:bCs w:val="0"/>
          <w:color w:val="auto"/>
          <w:sz w:val="32"/>
          <w:szCs w:val="32"/>
          <w:highlight w:val="none"/>
          <w:lang w:val="en-US" w:eastAsia="zh-CN"/>
        </w:rPr>
        <w:t>付款方式、质保期、建设工期等</w:t>
      </w:r>
      <w:r>
        <w:rPr>
          <w:rFonts w:hint="eastAsia" w:ascii="仿宋" w:hAnsi="仿宋" w:eastAsia="仿宋" w:cs="仿宋"/>
          <w:bCs/>
          <w:color w:val="auto"/>
          <w:sz w:val="32"/>
          <w:szCs w:val="32"/>
          <w:highlight w:val="none"/>
          <w:lang w:val="en-US" w:eastAsia="zh-CN"/>
        </w:rPr>
        <w:t>要求的响应情况等）。</w:t>
      </w:r>
    </w:p>
    <w:p w14:paraId="30132BB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第四部分：相关证明材料（业绩合同）。</w:t>
      </w:r>
    </w:p>
    <w:p w14:paraId="0E9C38F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2.报价要求：对项目清单进行报价，列明项目名称、规格、材质、做法、数量、单价、合价及总价。报价包含所有税费、材料、运输、存储、搬运、安装、调试、培训及质保期费用。</w:t>
      </w:r>
    </w:p>
    <w:p w14:paraId="7C0A320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第五章 合同主要条款</w:t>
      </w:r>
    </w:p>
    <w:p w14:paraId="6F4D400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结算价=造价机构审核的实际工程量×合同约定的固定单价。如果结算价低于签约合同价，按结算价支付；如果结算价高于签约合同价，按签约合同价支付，超出部分乙方自理。成交供应商的投标单价即为固定单价；成交供应商的投标总价即为签约合同价，且不得超过54万元。</w:t>
      </w:r>
    </w:p>
    <w:p w14:paraId="0B5DF3C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2.付款方式：合同签订后支付合同总价的30%作为预付款；现场建设完成并验收合格后支付至合同总价的98.5%；预留合同总价1.5%作为质保金，1年质保期满无质量问题后付清。</w:t>
      </w:r>
    </w:p>
    <w:p w14:paraId="5168E79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3.质量保证期：自最终验收合格之日起1年。</w:t>
      </w:r>
    </w:p>
    <w:p w14:paraId="7F3DF31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4.建设工期：合同签订</w:t>
      </w:r>
      <w:bookmarkStart w:id="0" w:name="_GoBack"/>
      <w:bookmarkEnd w:id="0"/>
      <w:r>
        <w:rPr>
          <w:rFonts w:hint="eastAsia" w:ascii="仿宋" w:hAnsi="仿宋" w:eastAsia="仿宋" w:cs="仿宋"/>
          <w:bCs/>
          <w:color w:val="auto"/>
          <w:sz w:val="32"/>
          <w:szCs w:val="32"/>
          <w:highlight w:val="none"/>
          <w:lang w:val="en-US" w:eastAsia="zh-CN"/>
        </w:rPr>
        <w:t>支付首批款后，不超过60日历日建设完成。</w:t>
      </w:r>
    </w:p>
    <w:p w14:paraId="57FD9FF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5.违约与争议解决：按《中华人民共和国民法典》及合同约定执行。</w:t>
      </w:r>
    </w:p>
    <w:p w14:paraId="2900B8B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第六章 项目总体要求</w:t>
      </w:r>
    </w:p>
    <w:p w14:paraId="7B20AF6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（一）项目概述</w:t>
      </w:r>
    </w:p>
    <w:p w14:paraId="79F8B3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1.项目名称：长江资管大厦企业文化展厅建设项目。</w:t>
      </w:r>
    </w:p>
    <w:p w14:paraId="0F81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2.项目概况：项目位于武昌区紫阳路281号长江资管大厦5楼。总面积约 123平方米，集公司前台、展示陈列及访客接待功能于一体。</w:t>
      </w:r>
    </w:p>
    <w:p w14:paraId="17075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3.拦标价54万元。合同签订支付首批款后，不超过60日历日建设完成。</w:t>
      </w:r>
    </w:p>
    <w:p w14:paraId="088FA3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接受联合体响应，联合体成员数量不超过2家，同时允许具备本项目所需全部资质的单一单位独立响应。联合体牵头人可为设计单位或施工单位，牵头人负责响应文件编制、递交等相关事宜。联合体各方须按分工具备以下资质：</w:t>
      </w:r>
    </w:p>
    <w:p w14:paraId="6B697D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（1）承担设计任务的单位须具备建筑装饰工程设计专项乙级及以上资质；</w:t>
      </w:r>
    </w:p>
    <w:p w14:paraId="712C47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（2）承担施工任务的单位须具备建筑装修装饰工程专业承包二级及以上资质。</w:t>
      </w:r>
    </w:p>
    <w:p w14:paraId="277D40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5.质量要求：验收合格后质保期1年。</w:t>
      </w:r>
    </w:p>
    <w:p w14:paraId="2464EF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（二）采购范围</w:t>
      </w:r>
    </w:p>
    <w:p w14:paraId="782E7AB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bidi="ar-SA"/>
        </w:rPr>
        <w:t>项目整体设计和项目建设。</w:t>
      </w:r>
    </w:p>
    <w:p w14:paraId="0BB8093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（三）采购内容及主要要求</w:t>
      </w:r>
    </w:p>
    <w:p w14:paraId="553A16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本次采购包含123㎡企业文化展厅设计和施工。展厅主要设前台、背景墙、展示陈列、访客接待四个功能区域。</w:t>
      </w:r>
    </w:p>
    <w:p w14:paraId="12E5DFD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（四）技术要求</w:t>
      </w:r>
    </w:p>
    <w:p w14:paraId="4E9FE3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1.设计要求：以静态展陈和多媒体动态展陈结合的形式，设计现代大气，体现公司企业文化，能够突显公司概况、发展历程、主要业务等。</w:t>
      </w:r>
    </w:p>
    <w:p w14:paraId="4923B6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2.建设标准：施工严格遵循建筑消防、装饰电气国标；强弱电分路套管敷设，接地漏电保护齐全。装饰墙面地面平整缝隙合规，照明照度达标、无眩光。结构稳固符合承重要求。</w:t>
      </w:r>
    </w:p>
    <w:p w14:paraId="4A5B326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（五）售后要求</w:t>
      </w:r>
    </w:p>
    <w:p w14:paraId="5F6FF0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1.质保期：免费质保不少于1年（竣工验收后12月）。质保期内出现非人为损坏的质量问题，供应商负责免费维修或更换。</w:t>
      </w:r>
    </w:p>
    <w:p w14:paraId="3CD63F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2.售后服务：提供7×24小时服务热线，一般问题2小时内响应，如需现场处理，应在24小时内派员到场。</w:t>
      </w:r>
    </w:p>
    <w:p w14:paraId="68C4E8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3.文档交付：项目验收后，提供使用说明及展厅布局图、线路图等资料。</w:t>
      </w:r>
    </w:p>
    <w:p w14:paraId="443CFCF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第七章 其他</w:t>
      </w:r>
    </w:p>
    <w:p w14:paraId="2B3AF7C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1.采购人保留在授予合同前，对响应文件中的疑点，要求供应商澄清的权利。</w:t>
      </w:r>
    </w:p>
    <w:p w14:paraId="3FA7F74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2.本项目的补充、变更通知（如有）将通过采购人官网发布。</w:t>
      </w:r>
    </w:p>
    <w:p w14:paraId="76C1BFA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3.本须知的解释权归采购人所有。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BFEDF6C-F220-47DF-A3B3-91495D227246}"/>
  </w:font>
  <w:font w:name="黑体">
    <w:panose1 w:val="02010609060101010101"/>
    <w:charset w:val="86"/>
    <w:family w:val="auto"/>
    <w:pitch w:val="default"/>
    <w:sig w:usb0="800002BF" w:usb1="38CF7CFA" w:usb2="00000016" w:usb3="00000000" w:csb0="00040001" w:csb1="00000000"/>
    <w:embedRegular r:id="rId2" w:fontKey="{2D709587-1AF3-4246-B4B0-179A807174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3" w:fontKey="{19CAA658-F132-4A95-AD9E-BF8DAB24D053}"/>
  </w:font>
  <w:font w:name="仿宋">
    <w:panose1 w:val="02010609060101010101"/>
    <w:charset w:val="86"/>
    <w:family w:val="modern"/>
    <w:pitch w:val="default"/>
    <w:sig w:usb0="800002BF" w:usb1="38CF7CFA" w:usb2="00000016" w:usb3="00000000" w:csb0="00040001" w:csb1="00000000"/>
    <w:embedRegular r:id="rId4" w:fontKey="{283EE07B-BD06-4C40-BF28-8C4B32DDE654}"/>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5" w:fontKey="{8C1B00EA-1630-4A69-9BC2-A419598E2439}"/>
  </w:font>
  <w:font w:name="仿宋_GB2312">
    <w:altName w:val="仿宋"/>
    <w:panose1 w:val="02010609030101010101"/>
    <w:charset w:val="86"/>
    <w:family w:val="auto"/>
    <w:pitch w:val="default"/>
    <w:sig w:usb0="00000000" w:usb1="00000000" w:usb2="00000000" w:usb3="00000000" w:csb0="00040000" w:csb1="00000000"/>
    <w:embedRegular r:id="rId6" w:fontKey="{24F77E85-2F89-4605-BF9D-65B2476C195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74D32"/>
    <w:multiLevelType w:val="multilevel"/>
    <w:tmpl w:val="0D274D32"/>
    <w:lvl w:ilvl="0" w:tentative="0">
      <w:start w:val="1"/>
      <w:numFmt w:val="chineseCountingThousand"/>
      <w:pStyle w:val="2"/>
      <w:suff w:val="nothing"/>
      <w:lvlText w:val="%1、"/>
      <w:lvlJc w:val="left"/>
      <w:pPr>
        <w:ind w:left="425" w:hanging="425"/>
      </w:pPr>
      <w:rPr>
        <w:rFonts w:hint="eastAsia" w:ascii="黑体" w:eastAsia="黑体"/>
        <w:b w:val="0"/>
        <w:i w:val="0"/>
        <w:sz w:val="32"/>
      </w:rPr>
    </w:lvl>
    <w:lvl w:ilvl="1" w:tentative="0">
      <w:start w:val="1"/>
      <w:numFmt w:val="chineseCountingThousand"/>
      <w:suff w:val="space"/>
      <w:lvlText w:val="(%2)"/>
      <w:lvlJc w:val="left"/>
      <w:pPr>
        <w:ind w:left="1135" w:hanging="1135"/>
      </w:pPr>
      <w:rPr>
        <w:rFonts w:hint="eastAsia" w:ascii="楷体" w:eastAsia="楷体"/>
        <w:b w:val="0"/>
        <w:i w:val="0"/>
        <w:sz w:val="32"/>
      </w:rPr>
    </w:lvl>
    <w:lvl w:ilvl="2" w:tentative="0">
      <w:start w:val="1"/>
      <w:numFmt w:val="decimal"/>
      <w:pStyle w:val="3"/>
      <w:suff w:val="nothing"/>
      <w:lvlText w:val="%3."/>
      <w:lvlJc w:val="left"/>
      <w:pPr>
        <w:ind w:left="0" w:firstLine="0"/>
      </w:pPr>
      <w:rPr>
        <w:rFonts w:hint="eastAsia" w:ascii="仿宋" w:eastAsia="仿宋"/>
        <w:b w:val="0"/>
        <w:i w:val="0"/>
        <w:sz w:val="32"/>
      </w:rPr>
    </w:lvl>
    <w:lvl w:ilvl="3" w:tentative="0">
      <w:start w:val="1"/>
      <w:numFmt w:val="decimal"/>
      <w:suff w:val="nothing"/>
      <w:lvlText w:val="(%4)"/>
      <w:lvlJc w:val="left"/>
      <w:pPr>
        <w:ind w:left="0" w:firstLine="0"/>
      </w:pPr>
      <w:rPr>
        <w:rFonts w:hint="eastAsia" w:ascii="仿宋" w:eastAsia="仿宋"/>
        <w:b w:val="0"/>
        <w:i w:val="0"/>
        <w:sz w:val="3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0"/>
    <w:lvlOverride w:ilvl="0">
      <w:lvl w:ilvl="0" w:tentative="1">
        <w:start w:val="1"/>
        <w:numFmt w:val="chineseCountingThousand"/>
        <w:suff w:val="nothing"/>
        <w:lvlText w:val="%1、"/>
        <w:lvlJc w:val="left"/>
        <w:pPr>
          <w:ind w:left="425" w:hanging="425"/>
        </w:pPr>
        <w:rPr>
          <w:rFonts w:hint="eastAsia" w:ascii="黑体" w:eastAsia="黑体"/>
          <w:b w:val="0"/>
          <w:i w:val="0"/>
          <w:sz w:val="32"/>
        </w:rPr>
      </w:lvl>
    </w:lvlOverride>
    <w:lvlOverride w:ilvl="1">
      <w:lvl w:ilvl="1" w:tentative="1">
        <w:start w:val="1"/>
        <w:numFmt w:val="chineseCountingThousand"/>
        <w:pStyle w:val="4"/>
        <w:suff w:val="nothing"/>
        <w:lvlText w:val="(%2)"/>
        <w:lvlJc w:val="left"/>
        <w:pPr>
          <w:ind w:left="2694" w:hanging="1135"/>
        </w:pPr>
        <w:rPr>
          <w:rFonts w:hint="eastAsia" w:ascii="楷体" w:eastAsia="楷体"/>
          <w:b w:val="0"/>
          <w:i w:val="0"/>
          <w:sz w:val="32"/>
        </w:rPr>
      </w:lvl>
    </w:lvlOverride>
    <w:lvlOverride w:ilvl="2">
      <w:lvl w:ilvl="2" w:tentative="1">
        <w:start w:val="1"/>
        <w:numFmt w:val="decimal"/>
        <w:suff w:val="nothing"/>
        <w:lvlText w:val="%3."/>
        <w:lvlJc w:val="left"/>
        <w:pPr>
          <w:ind w:left="0" w:firstLine="0"/>
        </w:pPr>
        <w:rPr>
          <w:rFonts w:hint="eastAsia" w:ascii="仿宋" w:eastAsia="仿宋"/>
          <w:b w:val="0"/>
          <w:i w:val="0"/>
          <w:sz w:val="32"/>
        </w:rPr>
      </w:lvl>
    </w:lvlOverride>
    <w:lvlOverride w:ilvl="3">
      <w:lvl w:ilvl="3" w:tentative="1">
        <w:start w:val="1"/>
        <w:numFmt w:val="decimal"/>
        <w:suff w:val="nothing"/>
        <w:lvlText w:val="(%4)"/>
        <w:lvlJc w:val="left"/>
        <w:pPr>
          <w:ind w:left="0" w:firstLine="0"/>
        </w:pPr>
        <w:rPr>
          <w:rFonts w:hint="eastAsia" w:ascii="仿宋" w:eastAsia="仿宋"/>
          <w:b w:val="0"/>
          <w:i w:val="0"/>
          <w:sz w:val="32"/>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WNkYjhjOWZhMzFiNWEyNzNjNWM2OWJjNTIyYTYifQ=="/>
    <w:docVar w:name="KGWebUrl" w:val="http://noa.cjtouzi.com:88/weaver/weaver.file.FileDownloadForNews?uuid=d2ed808e-689a-4c54-966f-2179cf06613f&amp;fileid=890742&amp;type=document&amp;isofficeview=0"/>
  </w:docVars>
  <w:rsids>
    <w:rsidRoot w:val="79B061D1"/>
    <w:rsid w:val="000B1071"/>
    <w:rsid w:val="000E447B"/>
    <w:rsid w:val="002D730E"/>
    <w:rsid w:val="002E6476"/>
    <w:rsid w:val="003F5F2A"/>
    <w:rsid w:val="005A1270"/>
    <w:rsid w:val="005A7208"/>
    <w:rsid w:val="005C30E8"/>
    <w:rsid w:val="005E5245"/>
    <w:rsid w:val="006059F4"/>
    <w:rsid w:val="00657FC8"/>
    <w:rsid w:val="006A346C"/>
    <w:rsid w:val="008C6A26"/>
    <w:rsid w:val="00AB6127"/>
    <w:rsid w:val="01593231"/>
    <w:rsid w:val="015F5DD0"/>
    <w:rsid w:val="01613210"/>
    <w:rsid w:val="016814B1"/>
    <w:rsid w:val="018C7EA2"/>
    <w:rsid w:val="01984E64"/>
    <w:rsid w:val="01FD42EF"/>
    <w:rsid w:val="02223D56"/>
    <w:rsid w:val="024912E2"/>
    <w:rsid w:val="0264611C"/>
    <w:rsid w:val="029147DF"/>
    <w:rsid w:val="02FB6FDD"/>
    <w:rsid w:val="032338E1"/>
    <w:rsid w:val="032C4E8C"/>
    <w:rsid w:val="036363D4"/>
    <w:rsid w:val="038A3960"/>
    <w:rsid w:val="03D60954"/>
    <w:rsid w:val="042518DB"/>
    <w:rsid w:val="04910516"/>
    <w:rsid w:val="04BA64C7"/>
    <w:rsid w:val="050D7898"/>
    <w:rsid w:val="05186FD2"/>
    <w:rsid w:val="051922D5"/>
    <w:rsid w:val="052E2B52"/>
    <w:rsid w:val="05512674"/>
    <w:rsid w:val="05A43768"/>
    <w:rsid w:val="05C07B0D"/>
    <w:rsid w:val="05CD222A"/>
    <w:rsid w:val="05EB778A"/>
    <w:rsid w:val="060F639F"/>
    <w:rsid w:val="063C566C"/>
    <w:rsid w:val="064031CE"/>
    <w:rsid w:val="067600B4"/>
    <w:rsid w:val="06B331CE"/>
    <w:rsid w:val="06D616FA"/>
    <w:rsid w:val="06FD08ED"/>
    <w:rsid w:val="07B0310A"/>
    <w:rsid w:val="07EB7424"/>
    <w:rsid w:val="08122176"/>
    <w:rsid w:val="082B2203"/>
    <w:rsid w:val="084562B5"/>
    <w:rsid w:val="08570EF4"/>
    <w:rsid w:val="08624ABE"/>
    <w:rsid w:val="089247D2"/>
    <w:rsid w:val="08D15363"/>
    <w:rsid w:val="09054119"/>
    <w:rsid w:val="093E6EE3"/>
    <w:rsid w:val="09480624"/>
    <w:rsid w:val="097924AD"/>
    <w:rsid w:val="098D0501"/>
    <w:rsid w:val="0A1A6F23"/>
    <w:rsid w:val="0A2A768E"/>
    <w:rsid w:val="0A7D4417"/>
    <w:rsid w:val="0A851A94"/>
    <w:rsid w:val="0AA90B70"/>
    <w:rsid w:val="0ADA6E36"/>
    <w:rsid w:val="0B521208"/>
    <w:rsid w:val="0B735C22"/>
    <w:rsid w:val="0B85713E"/>
    <w:rsid w:val="0B8B2FC0"/>
    <w:rsid w:val="0B960F41"/>
    <w:rsid w:val="0BB64746"/>
    <w:rsid w:val="0BCB2D68"/>
    <w:rsid w:val="0C0D3381"/>
    <w:rsid w:val="0C5C2956"/>
    <w:rsid w:val="0C611D45"/>
    <w:rsid w:val="0C7F16DB"/>
    <w:rsid w:val="0C997C40"/>
    <w:rsid w:val="0CF87912"/>
    <w:rsid w:val="0D126537"/>
    <w:rsid w:val="0D3015E9"/>
    <w:rsid w:val="0E2759AB"/>
    <w:rsid w:val="0E791B28"/>
    <w:rsid w:val="0E957CED"/>
    <w:rsid w:val="0EDC1828"/>
    <w:rsid w:val="0F242EBB"/>
    <w:rsid w:val="0F51040B"/>
    <w:rsid w:val="0F533B42"/>
    <w:rsid w:val="0FAC0DD4"/>
    <w:rsid w:val="10242656"/>
    <w:rsid w:val="10305890"/>
    <w:rsid w:val="1032785A"/>
    <w:rsid w:val="10C5559E"/>
    <w:rsid w:val="10DC1C06"/>
    <w:rsid w:val="112C24FB"/>
    <w:rsid w:val="112E0DC0"/>
    <w:rsid w:val="112F371B"/>
    <w:rsid w:val="113E7960"/>
    <w:rsid w:val="11603F53"/>
    <w:rsid w:val="11A07B4B"/>
    <w:rsid w:val="11B5214F"/>
    <w:rsid w:val="11FD1F14"/>
    <w:rsid w:val="130152C1"/>
    <w:rsid w:val="13257C10"/>
    <w:rsid w:val="13454E41"/>
    <w:rsid w:val="136223F1"/>
    <w:rsid w:val="13797359"/>
    <w:rsid w:val="13DB3D64"/>
    <w:rsid w:val="13DD788B"/>
    <w:rsid w:val="14212519"/>
    <w:rsid w:val="14246C11"/>
    <w:rsid w:val="144E2788"/>
    <w:rsid w:val="14927AB1"/>
    <w:rsid w:val="14AC1462"/>
    <w:rsid w:val="14D233B9"/>
    <w:rsid w:val="151D3305"/>
    <w:rsid w:val="153A1BB7"/>
    <w:rsid w:val="15784E9C"/>
    <w:rsid w:val="159638C7"/>
    <w:rsid w:val="15C47699"/>
    <w:rsid w:val="15DE7070"/>
    <w:rsid w:val="15ED482B"/>
    <w:rsid w:val="15F106C8"/>
    <w:rsid w:val="16157A01"/>
    <w:rsid w:val="161A7E53"/>
    <w:rsid w:val="16BF2E8D"/>
    <w:rsid w:val="171A6B40"/>
    <w:rsid w:val="173B293B"/>
    <w:rsid w:val="175B04E9"/>
    <w:rsid w:val="1763394C"/>
    <w:rsid w:val="17AF14BB"/>
    <w:rsid w:val="17C3523B"/>
    <w:rsid w:val="17DE215A"/>
    <w:rsid w:val="1825668C"/>
    <w:rsid w:val="183107E0"/>
    <w:rsid w:val="18CA6212"/>
    <w:rsid w:val="194859F8"/>
    <w:rsid w:val="19650F7D"/>
    <w:rsid w:val="199838D4"/>
    <w:rsid w:val="19C44B2D"/>
    <w:rsid w:val="19C718B6"/>
    <w:rsid w:val="19D61256"/>
    <w:rsid w:val="19D62A70"/>
    <w:rsid w:val="1A0D7EA6"/>
    <w:rsid w:val="1A8567D8"/>
    <w:rsid w:val="1AEB56BA"/>
    <w:rsid w:val="1B475841"/>
    <w:rsid w:val="1B742EE7"/>
    <w:rsid w:val="1BD85F19"/>
    <w:rsid w:val="1C5429B8"/>
    <w:rsid w:val="1C550582"/>
    <w:rsid w:val="1C623275"/>
    <w:rsid w:val="1C741F74"/>
    <w:rsid w:val="1C8834C4"/>
    <w:rsid w:val="1C8F2644"/>
    <w:rsid w:val="1C964CCC"/>
    <w:rsid w:val="1CA473E9"/>
    <w:rsid w:val="1CB334E8"/>
    <w:rsid w:val="1CB702E4"/>
    <w:rsid w:val="1CE4315E"/>
    <w:rsid w:val="1D000FE9"/>
    <w:rsid w:val="1D452CA7"/>
    <w:rsid w:val="1D5A0280"/>
    <w:rsid w:val="1D921938"/>
    <w:rsid w:val="1DFC367E"/>
    <w:rsid w:val="1E3D2D1E"/>
    <w:rsid w:val="1E8D58DC"/>
    <w:rsid w:val="1E9B0CC0"/>
    <w:rsid w:val="1EAF588D"/>
    <w:rsid w:val="1EEA0E17"/>
    <w:rsid w:val="1EEB7551"/>
    <w:rsid w:val="1F3068A0"/>
    <w:rsid w:val="1F6676B0"/>
    <w:rsid w:val="1FB747D2"/>
    <w:rsid w:val="200D34F7"/>
    <w:rsid w:val="20400790"/>
    <w:rsid w:val="205A3400"/>
    <w:rsid w:val="206D21E8"/>
    <w:rsid w:val="20E93A48"/>
    <w:rsid w:val="20EB09BF"/>
    <w:rsid w:val="21087D99"/>
    <w:rsid w:val="210D3DD8"/>
    <w:rsid w:val="2141581D"/>
    <w:rsid w:val="214B42D7"/>
    <w:rsid w:val="215D6FE5"/>
    <w:rsid w:val="21780DE1"/>
    <w:rsid w:val="21CB6B53"/>
    <w:rsid w:val="21F726B1"/>
    <w:rsid w:val="22274816"/>
    <w:rsid w:val="2269625D"/>
    <w:rsid w:val="227B5A29"/>
    <w:rsid w:val="227D1D9D"/>
    <w:rsid w:val="228B4147"/>
    <w:rsid w:val="231D14E2"/>
    <w:rsid w:val="232132C2"/>
    <w:rsid w:val="233D5EA2"/>
    <w:rsid w:val="234E432D"/>
    <w:rsid w:val="23767606"/>
    <w:rsid w:val="23841D23"/>
    <w:rsid w:val="23CF09EE"/>
    <w:rsid w:val="24230DF3"/>
    <w:rsid w:val="2435393C"/>
    <w:rsid w:val="24E16D01"/>
    <w:rsid w:val="25006BE0"/>
    <w:rsid w:val="25382DC5"/>
    <w:rsid w:val="25567215"/>
    <w:rsid w:val="257E5CF9"/>
    <w:rsid w:val="25A22934"/>
    <w:rsid w:val="25CD10ED"/>
    <w:rsid w:val="25CD17C3"/>
    <w:rsid w:val="26356FD8"/>
    <w:rsid w:val="26606A77"/>
    <w:rsid w:val="26657F62"/>
    <w:rsid w:val="26723037"/>
    <w:rsid w:val="26AA7CF2"/>
    <w:rsid w:val="26DE6F50"/>
    <w:rsid w:val="27012FB2"/>
    <w:rsid w:val="2728065B"/>
    <w:rsid w:val="27377B02"/>
    <w:rsid w:val="2745083C"/>
    <w:rsid w:val="276119C3"/>
    <w:rsid w:val="27734EF8"/>
    <w:rsid w:val="27C13545"/>
    <w:rsid w:val="280276BA"/>
    <w:rsid w:val="281431DC"/>
    <w:rsid w:val="285443B9"/>
    <w:rsid w:val="28550131"/>
    <w:rsid w:val="28694820"/>
    <w:rsid w:val="28764269"/>
    <w:rsid w:val="287D57FB"/>
    <w:rsid w:val="28E431A1"/>
    <w:rsid w:val="28F724BB"/>
    <w:rsid w:val="290B3B9D"/>
    <w:rsid w:val="293E62D5"/>
    <w:rsid w:val="29585451"/>
    <w:rsid w:val="29A400B7"/>
    <w:rsid w:val="29CC61D1"/>
    <w:rsid w:val="2A2E29E8"/>
    <w:rsid w:val="2A3D656B"/>
    <w:rsid w:val="2A4B1CA7"/>
    <w:rsid w:val="2A9D4E13"/>
    <w:rsid w:val="2AAC416B"/>
    <w:rsid w:val="2B4C1052"/>
    <w:rsid w:val="2B564338"/>
    <w:rsid w:val="2B5F65B7"/>
    <w:rsid w:val="2B7E174D"/>
    <w:rsid w:val="2B942D1F"/>
    <w:rsid w:val="2B9F761D"/>
    <w:rsid w:val="2BC2788C"/>
    <w:rsid w:val="2C0559CB"/>
    <w:rsid w:val="2C635606"/>
    <w:rsid w:val="2D88240F"/>
    <w:rsid w:val="2DBA3359"/>
    <w:rsid w:val="2DD359C6"/>
    <w:rsid w:val="2DEE79F0"/>
    <w:rsid w:val="2E5442E3"/>
    <w:rsid w:val="2E5E41BD"/>
    <w:rsid w:val="2E766E81"/>
    <w:rsid w:val="2E7734D0"/>
    <w:rsid w:val="2EC61121"/>
    <w:rsid w:val="2ED973C6"/>
    <w:rsid w:val="2EE10029"/>
    <w:rsid w:val="2EF36417"/>
    <w:rsid w:val="2FB66006"/>
    <w:rsid w:val="2FB67708"/>
    <w:rsid w:val="2FBD1A5E"/>
    <w:rsid w:val="2FE5013F"/>
    <w:rsid w:val="301601A6"/>
    <w:rsid w:val="30651B4E"/>
    <w:rsid w:val="30B95695"/>
    <w:rsid w:val="3135465C"/>
    <w:rsid w:val="31B70A4F"/>
    <w:rsid w:val="31E62551"/>
    <w:rsid w:val="31F77B64"/>
    <w:rsid w:val="32801F27"/>
    <w:rsid w:val="32AE4614"/>
    <w:rsid w:val="32DE7BE5"/>
    <w:rsid w:val="32ED6F9E"/>
    <w:rsid w:val="331F3816"/>
    <w:rsid w:val="334903E8"/>
    <w:rsid w:val="33656F34"/>
    <w:rsid w:val="33880010"/>
    <w:rsid w:val="33B84F03"/>
    <w:rsid w:val="33EA5AFD"/>
    <w:rsid w:val="342800CC"/>
    <w:rsid w:val="344F1ED9"/>
    <w:rsid w:val="34A73DDD"/>
    <w:rsid w:val="34E26C7A"/>
    <w:rsid w:val="34FB796B"/>
    <w:rsid w:val="35CE6E2D"/>
    <w:rsid w:val="35D67F47"/>
    <w:rsid w:val="36501689"/>
    <w:rsid w:val="3678391C"/>
    <w:rsid w:val="36871CFC"/>
    <w:rsid w:val="36EE7787"/>
    <w:rsid w:val="37083255"/>
    <w:rsid w:val="3709455A"/>
    <w:rsid w:val="379D1AFB"/>
    <w:rsid w:val="37EA62C5"/>
    <w:rsid w:val="380D3A6D"/>
    <w:rsid w:val="387354CF"/>
    <w:rsid w:val="38C81F5D"/>
    <w:rsid w:val="38C97B68"/>
    <w:rsid w:val="3960046C"/>
    <w:rsid w:val="396B29BC"/>
    <w:rsid w:val="399C2408"/>
    <w:rsid w:val="39CC16F7"/>
    <w:rsid w:val="39D76BF8"/>
    <w:rsid w:val="39E41315"/>
    <w:rsid w:val="3A192D6D"/>
    <w:rsid w:val="3A6A35C8"/>
    <w:rsid w:val="3A806EB5"/>
    <w:rsid w:val="3AC17BD2"/>
    <w:rsid w:val="3B0752BB"/>
    <w:rsid w:val="3B0B1B78"/>
    <w:rsid w:val="3B89013F"/>
    <w:rsid w:val="3BE21317"/>
    <w:rsid w:val="3BEA5BEE"/>
    <w:rsid w:val="3C3B0D32"/>
    <w:rsid w:val="3C44609B"/>
    <w:rsid w:val="3C475F6C"/>
    <w:rsid w:val="3C7D1624"/>
    <w:rsid w:val="3C9C1A33"/>
    <w:rsid w:val="3CE72C75"/>
    <w:rsid w:val="3CF45CCD"/>
    <w:rsid w:val="3D251A29"/>
    <w:rsid w:val="3D3305EA"/>
    <w:rsid w:val="3D5406AA"/>
    <w:rsid w:val="3D6A3A11"/>
    <w:rsid w:val="3D6D517E"/>
    <w:rsid w:val="3DA962B7"/>
    <w:rsid w:val="3DAE350F"/>
    <w:rsid w:val="3DC96858"/>
    <w:rsid w:val="3DF061A6"/>
    <w:rsid w:val="3E2919ED"/>
    <w:rsid w:val="3E477303"/>
    <w:rsid w:val="3E5C7775"/>
    <w:rsid w:val="3E685872"/>
    <w:rsid w:val="3ED62B59"/>
    <w:rsid w:val="3EF64F69"/>
    <w:rsid w:val="3EF77A9E"/>
    <w:rsid w:val="3F0758F1"/>
    <w:rsid w:val="3F0B2EA0"/>
    <w:rsid w:val="3F3348D1"/>
    <w:rsid w:val="3F3A1267"/>
    <w:rsid w:val="3F4A25FA"/>
    <w:rsid w:val="3F781A88"/>
    <w:rsid w:val="3F93536F"/>
    <w:rsid w:val="40120763"/>
    <w:rsid w:val="402760A5"/>
    <w:rsid w:val="408F1FDB"/>
    <w:rsid w:val="412F7C08"/>
    <w:rsid w:val="41356FFF"/>
    <w:rsid w:val="41C0126E"/>
    <w:rsid w:val="422B46C8"/>
    <w:rsid w:val="4252039F"/>
    <w:rsid w:val="426A3716"/>
    <w:rsid w:val="42720F09"/>
    <w:rsid w:val="42747C5F"/>
    <w:rsid w:val="42AF4D42"/>
    <w:rsid w:val="42D7001B"/>
    <w:rsid w:val="42EA29D6"/>
    <w:rsid w:val="43052685"/>
    <w:rsid w:val="43EA39CC"/>
    <w:rsid w:val="44183734"/>
    <w:rsid w:val="44342F24"/>
    <w:rsid w:val="446B4F0C"/>
    <w:rsid w:val="44AB311D"/>
    <w:rsid w:val="4507416F"/>
    <w:rsid w:val="45372E00"/>
    <w:rsid w:val="456A7B1E"/>
    <w:rsid w:val="45A42953"/>
    <w:rsid w:val="45CD0EDF"/>
    <w:rsid w:val="45D64651"/>
    <w:rsid w:val="45EB0695"/>
    <w:rsid w:val="45F80708"/>
    <w:rsid w:val="46081DC4"/>
    <w:rsid w:val="466145CF"/>
    <w:rsid w:val="467304A3"/>
    <w:rsid w:val="4700037E"/>
    <w:rsid w:val="473E1636"/>
    <w:rsid w:val="474653BD"/>
    <w:rsid w:val="477151B2"/>
    <w:rsid w:val="47953C4F"/>
    <w:rsid w:val="48A31068"/>
    <w:rsid w:val="48A93E76"/>
    <w:rsid w:val="4906192B"/>
    <w:rsid w:val="491D3EFC"/>
    <w:rsid w:val="49354045"/>
    <w:rsid w:val="49EC3FFA"/>
    <w:rsid w:val="4A0330F2"/>
    <w:rsid w:val="4A1F1BEF"/>
    <w:rsid w:val="4A8F26EE"/>
    <w:rsid w:val="4ABA5EA6"/>
    <w:rsid w:val="4AD924FA"/>
    <w:rsid w:val="4AE72B13"/>
    <w:rsid w:val="4B1E1FF4"/>
    <w:rsid w:val="4BD5770A"/>
    <w:rsid w:val="4BDE7A2D"/>
    <w:rsid w:val="4C6508AD"/>
    <w:rsid w:val="4D314938"/>
    <w:rsid w:val="4D95772B"/>
    <w:rsid w:val="4D9D5E63"/>
    <w:rsid w:val="4D9F3131"/>
    <w:rsid w:val="4DA150FB"/>
    <w:rsid w:val="4DB6480E"/>
    <w:rsid w:val="4DCF494F"/>
    <w:rsid w:val="4DE3451F"/>
    <w:rsid w:val="4E8F0D3A"/>
    <w:rsid w:val="4E9C58C3"/>
    <w:rsid w:val="4F3407B0"/>
    <w:rsid w:val="4F384817"/>
    <w:rsid w:val="4F7F3036"/>
    <w:rsid w:val="4FE14544"/>
    <w:rsid w:val="50174DEC"/>
    <w:rsid w:val="50375C48"/>
    <w:rsid w:val="50693F28"/>
    <w:rsid w:val="50B76197"/>
    <w:rsid w:val="50D437A5"/>
    <w:rsid w:val="50D91E34"/>
    <w:rsid w:val="50E955CA"/>
    <w:rsid w:val="51317984"/>
    <w:rsid w:val="516B3AE9"/>
    <w:rsid w:val="51836DD1"/>
    <w:rsid w:val="525B0467"/>
    <w:rsid w:val="52652181"/>
    <w:rsid w:val="527356AA"/>
    <w:rsid w:val="527C1089"/>
    <w:rsid w:val="52D159E7"/>
    <w:rsid w:val="531A3AED"/>
    <w:rsid w:val="538630A7"/>
    <w:rsid w:val="53A46AC8"/>
    <w:rsid w:val="53D551D2"/>
    <w:rsid w:val="53EC5A2E"/>
    <w:rsid w:val="540B47A0"/>
    <w:rsid w:val="540E1011"/>
    <w:rsid w:val="545F19B3"/>
    <w:rsid w:val="5520724E"/>
    <w:rsid w:val="552A37CA"/>
    <w:rsid w:val="5554043B"/>
    <w:rsid w:val="559B2E3D"/>
    <w:rsid w:val="55E4027B"/>
    <w:rsid w:val="560B1F5F"/>
    <w:rsid w:val="5623188F"/>
    <w:rsid w:val="56250B65"/>
    <w:rsid w:val="567464C9"/>
    <w:rsid w:val="56847368"/>
    <w:rsid w:val="56A25013"/>
    <w:rsid w:val="56D4592B"/>
    <w:rsid w:val="56DD7C5B"/>
    <w:rsid w:val="56F45562"/>
    <w:rsid w:val="57325EB3"/>
    <w:rsid w:val="573A3649"/>
    <w:rsid w:val="57473F16"/>
    <w:rsid w:val="574D4798"/>
    <w:rsid w:val="57DA7A09"/>
    <w:rsid w:val="58003366"/>
    <w:rsid w:val="58873140"/>
    <w:rsid w:val="58BD4DB3"/>
    <w:rsid w:val="59187936"/>
    <w:rsid w:val="59413C36"/>
    <w:rsid w:val="595A6218"/>
    <w:rsid w:val="59865116"/>
    <w:rsid w:val="598B5BAD"/>
    <w:rsid w:val="59971489"/>
    <w:rsid w:val="59CF4D9E"/>
    <w:rsid w:val="59E22F56"/>
    <w:rsid w:val="5A0B3435"/>
    <w:rsid w:val="5A772E3D"/>
    <w:rsid w:val="5AF56A87"/>
    <w:rsid w:val="5AFF4C92"/>
    <w:rsid w:val="5B7A6EB4"/>
    <w:rsid w:val="5BE07737"/>
    <w:rsid w:val="5BEC60DC"/>
    <w:rsid w:val="5BFF5738"/>
    <w:rsid w:val="5C3564CD"/>
    <w:rsid w:val="5C5E2B74"/>
    <w:rsid w:val="5C621EFA"/>
    <w:rsid w:val="5C74187A"/>
    <w:rsid w:val="5CBD1826"/>
    <w:rsid w:val="5CC42BB4"/>
    <w:rsid w:val="5D086F45"/>
    <w:rsid w:val="5D153410"/>
    <w:rsid w:val="5D255B76"/>
    <w:rsid w:val="5D261FAE"/>
    <w:rsid w:val="5D392E01"/>
    <w:rsid w:val="5DCD7847"/>
    <w:rsid w:val="5E0B2F96"/>
    <w:rsid w:val="5E197CFB"/>
    <w:rsid w:val="5E231B5D"/>
    <w:rsid w:val="5E2A4C99"/>
    <w:rsid w:val="5E36363E"/>
    <w:rsid w:val="5F006E20"/>
    <w:rsid w:val="5F2C7552"/>
    <w:rsid w:val="5F760649"/>
    <w:rsid w:val="5FA541E5"/>
    <w:rsid w:val="5FC07C26"/>
    <w:rsid w:val="5FFA0E12"/>
    <w:rsid w:val="604077FD"/>
    <w:rsid w:val="609308ED"/>
    <w:rsid w:val="60C433CA"/>
    <w:rsid w:val="60C666DE"/>
    <w:rsid w:val="60CA539D"/>
    <w:rsid w:val="60D134A8"/>
    <w:rsid w:val="611468E7"/>
    <w:rsid w:val="61A134C4"/>
    <w:rsid w:val="61BB54CC"/>
    <w:rsid w:val="61CA102C"/>
    <w:rsid w:val="61CF4BA3"/>
    <w:rsid w:val="621E0BAB"/>
    <w:rsid w:val="629D0130"/>
    <w:rsid w:val="62A212A2"/>
    <w:rsid w:val="62B13C1F"/>
    <w:rsid w:val="63441579"/>
    <w:rsid w:val="635A52E3"/>
    <w:rsid w:val="63B413ED"/>
    <w:rsid w:val="63C559C7"/>
    <w:rsid w:val="63CD67F3"/>
    <w:rsid w:val="63D560E3"/>
    <w:rsid w:val="64CF7271"/>
    <w:rsid w:val="64F658D5"/>
    <w:rsid w:val="65070F48"/>
    <w:rsid w:val="655F3F09"/>
    <w:rsid w:val="6578278E"/>
    <w:rsid w:val="65DA24CD"/>
    <w:rsid w:val="662E7315"/>
    <w:rsid w:val="6648106B"/>
    <w:rsid w:val="666C6467"/>
    <w:rsid w:val="666D622E"/>
    <w:rsid w:val="668135E2"/>
    <w:rsid w:val="66BB126F"/>
    <w:rsid w:val="67154172"/>
    <w:rsid w:val="673B646A"/>
    <w:rsid w:val="676B07FC"/>
    <w:rsid w:val="67A149C5"/>
    <w:rsid w:val="67AA0D24"/>
    <w:rsid w:val="67B217A3"/>
    <w:rsid w:val="67DA1624"/>
    <w:rsid w:val="68181876"/>
    <w:rsid w:val="685748DD"/>
    <w:rsid w:val="68660FC4"/>
    <w:rsid w:val="68A85138"/>
    <w:rsid w:val="68DC0114"/>
    <w:rsid w:val="69011A1A"/>
    <w:rsid w:val="69817532"/>
    <w:rsid w:val="69A41DA4"/>
    <w:rsid w:val="69C9643A"/>
    <w:rsid w:val="69E751AD"/>
    <w:rsid w:val="6A5135AE"/>
    <w:rsid w:val="6A596AB2"/>
    <w:rsid w:val="6A932CB3"/>
    <w:rsid w:val="6AF1726A"/>
    <w:rsid w:val="6B375281"/>
    <w:rsid w:val="6B48013C"/>
    <w:rsid w:val="6B49322B"/>
    <w:rsid w:val="6B99345E"/>
    <w:rsid w:val="6BB40298"/>
    <w:rsid w:val="6BB72203"/>
    <w:rsid w:val="6BE24E05"/>
    <w:rsid w:val="6C017677"/>
    <w:rsid w:val="6C6424D5"/>
    <w:rsid w:val="6C81017A"/>
    <w:rsid w:val="6C933D96"/>
    <w:rsid w:val="6C97799E"/>
    <w:rsid w:val="6CD01102"/>
    <w:rsid w:val="6CD76510"/>
    <w:rsid w:val="6CD83A31"/>
    <w:rsid w:val="6CE34B8C"/>
    <w:rsid w:val="6D5928BA"/>
    <w:rsid w:val="6D9E0063"/>
    <w:rsid w:val="6DB277A2"/>
    <w:rsid w:val="6DD110DC"/>
    <w:rsid w:val="6DEF40A2"/>
    <w:rsid w:val="6E14501E"/>
    <w:rsid w:val="6E2F5A53"/>
    <w:rsid w:val="6E600263"/>
    <w:rsid w:val="6E946B8C"/>
    <w:rsid w:val="6EA6211A"/>
    <w:rsid w:val="6EE42C42"/>
    <w:rsid w:val="6EE65E95"/>
    <w:rsid w:val="6F452E59"/>
    <w:rsid w:val="6FB82F3C"/>
    <w:rsid w:val="6FC72954"/>
    <w:rsid w:val="6FEB61ED"/>
    <w:rsid w:val="7047156C"/>
    <w:rsid w:val="708F6BDE"/>
    <w:rsid w:val="70BF1A0C"/>
    <w:rsid w:val="70F163F7"/>
    <w:rsid w:val="711656A0"/>
    <w:rsid w:val="71401A3C"/>
    <w:rsid w:val="714A76D4"/>
    <w:rsid w:val="716D693F"/>
    <w:rsid w:val="719C6A64"/>
    <w:rsid w:val="71D100ED"/>
    <w:rsid w:val="71FB5844"/>
    <w:rsid w:val="725F71EC"/>
    <w:rsid w:val="73127BC5"/>
    <w:rsid w:val="731338A1"/>
    <w:rsid w:val="73371011"/>
    <w:rsid w:val="739C6711"/>
    <w:rsid w:val="73BF414E"/>
    <w:rsid w:val="73E430F7"/>
    <w:rsid w:val="73EC4A73"/>
    <w:rsid w:val="74BD0375"/>
    <w:rsid w:val="74C7521F"/>
    <w:rsid w:val="74D91904"/>
    <w:rsid w:val="74DA0950"/>
    <w:rsid w:val="74E90984"/>
    <w:rsid w:val="75363ACC"/>
    <w:rsid w:val="754579DF"/>
    <w:rsid w:val="75487B47"/>
    <w:rsid w:val="75671ED7"/>
    <w:rsid w:val="75B12948"/>
    <w:rsid w:val="75B50E95"/>
    <w:rsid w:val="75D217D6"/>
    <w:rsid w:val="761262E7"/>
    <w:rsid w:val="76597BD9"/>
    <w:rsid w:val="76731946"/>
    <w:rsid w:val="76B84078"/>
    <w:rsid w:val="76C21C30"/>
    <w:rsid w:val="76E23F0B"/>
    <w:rsid w:val="770D5C33"/>
    <w:rsid w:val="77116A65"/>
    <w:rsid w:val="77626DFA"/>
    <w:rsid w:val="77E9342A"/>
    <w:rsid w:val="783F09AA"/>
    <w:rsid w:val="784663F3"/>
    <w:rsid w:val="7898386B"/>
    <w:rsid w:val="78A477E3"/>
    <w:rsid w:val="790C526F"/>
    <w:rsid w:val="793D70A9"/>
    <w:rsid w:val="793F3897"/>
    <w:rsid w:val="79466A05"/>
    <w:rsid w:val="79516077"/>
    <w:rsid w:val="796334B1"/>
    <w:rsid w:val="79634AD8"/>
    <w:rsid w:val="79AC3EB3"/>
    <w:rsid w:val="79B061D1"/>
    <w:rsid w:val="79C31852"/>
    <w:rsid w:val="7AC60147"/>
    <w:rsid w:val="7AE81542"/>
    <w:rsid w:val="7B1452D4"/>
    <w:rsid w:val="7B182D63"/>
    <w:rsid w:val="7B807FC9"/>
    <w:rsid w:val="7B8A1033"/>
    <w:rsid w:val="7B941B9B"/>
    <w:rsid w:val="7B9F061D"/>
    <w:rsid w:val="7C093CE8"/>
    <w:rsid w:val="7C266245"/>
    <w:rsid w:val="7C267368"/>
    <w:rsid w:val="7C2E2C7D"/>
    <w:rsid w:val="7C315BEA"/>
    <w:rsid w:val="7C3666C5"/>
    <w:rsid w:val="7C4D2775"/>
    <w:rsid w:val="7C6A54C6"/>
    <w:rsid w:val="7C8233E8"/>
    <w:rsid w:val="7CE727AE"/>
    <w:rsid w:val="7D7720E3"/>
    <w:rsid w:val="7E1D19EA"/>
    <w:rsid w:val="7E2056AD"/>
    <w:rsid w:val="7E22343A"/>
    <w:rsid w:val="7E6F3993"/>
    <w:rsid w:val="7E7D576D"/>
    <w:rsid w:val="7EC54D3D"/>
    <w:rsid w:val="7EF54D3D"/>
    <w:rsid w:val="7F1D1D9C"/>
    <w:rsid w:val="7F572FBC"/>
    <w:rsid w:val="7F8A241D"/>
    <w:rsid w:val="7F9F7F5B"/>
    <w:rsid w:val="7FA02BB5"/>
    <w:rsid w:val="7FAD4DB2"/>
    <w:rsid w:val="7FB9546D"/>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
    <w:pPr>
      <w:numPr>
        <w:ilvl w:val="0"/>
      </w:numPr>
      <w:ind w:left="0" w:firstLine="200"/>
      <w:outlineLvl w:val="0"/>
    </w:pPr>
    <w:rPr>
      <w:rFonts w:eastAsia="黑体"/>
    </w:rPr>
  </w:style>
  <w:style w:type="paragraph" w:styleId="4">
    <w:name w:val="heading 2"/>
    <w:next w:val="1"/>
    <w:link w:val="14"/>
    <w:unhideWhenUsed/>
    <w:qFormat/>
    <w:uiPriority w:val="9"/>
    <w:pPr>
      <w:numPr>
        <w:ilvl w:val="1"/>
        <w:numId w:val="2"/>
      </w:numPr>
      <w:spacing w:line="560" w:lineRule="exact"/>
      <w:ind w:left="0" w:firstLine="200" w:firstLineChars="200"/>
      <w:jc w:val="both"/>
      <w:outlineLvl w:val="1"/>
    </w:pPr>
    <w:rPr>
      <w:rFonts w:ascii="楷体" w:hAnsi="Calibri Light" w:eastAsia="楷体" w:cs="Times New Roman"/>
      <w:kern w:val="44"/>
      <w:sz w:val="32"/>
      <w:szCs w:val="32"/>
      <w:lang w:val="en-US" w:eastAsia="zh-CN" w:bidi="ar-SA"/>
    </w:rPr>
  </w:style>
  <w:style w:type="paragraph" w:styleId="3">
    <w:name w:val="heading 3"/>
    <w:basedOn w:val="1"/>
    <w:next w:val="1"/>
    <w:link w:val="15"/>
    <w:unhideWhenUsed/>
    <w:qFormat/>
    <w:uiPriority w:val="9"/>
    <w:pPr>
      <w:numPr>
        <w:ilvl w:val="2"/>
        <w:numId w:val="1"/>
      </w:numPr>
      <w:ind w:firstLine="632"/>
      <w:outlineLvl w:val="2"/>
    </w:pPr>
    <w:rPr>
      <w:bCs/>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autoRedefine/>
    <w:semiHidden/>
    <w:unhideWhenUsed/>
    <w:qFormat/>
    <w:uiPriority w:val="99"/>
    <w:pPr>
      <w:spacing w:after="120"/>
    </w:pPr>
  </w:style>
  <w:style w:type="paragraph" w:styleId="7">
    <w:name w:val="Title"/>
    <w:basedOn w:val="1"/>
    <w:next w:val="1"/>
    <w:autoRedefine/>
    <w:qFormat/>
    <w:uiPriority w:val="99"/>
    <w:pPr>
      <w:spacing w:before="240" w:after="60"/>
      <w:jc w:val="center"/>
      <w:outlineLvl w:val="0"/>
    </w:pPr>
    <w:rPr>
      <w:rFonts w:ascii="Cambria" w:hAnsi="Cambria"/>
      <w:b/>
      <w:bCs/>
      <w:sz w:val="32"/>
      <w:szCs w:val="32"/>
    </w:rPr>
  </w:style>
  <w:style w:type="paragraph" w:styleId="8">
    <w:name w:val="Body Text First Indent"/>
    <w:basedOn w:val="6"/>
    <w:autoRedefine/>
    <w:qFormat/>
    <w:uiPriority w:val="0"/>
    <w:pPr>
      <w:ind w:firstLine="420" w:firstLineChars="100"/>
    </w:pPr>
    <w:rPr>
      <w:rFonts w:ascii="Times New Roman" w:hAnsi="Times New Roman" w:eastAsia="宋体" w:cs="Times New Roman"/>
      <w:kern w:val="0"/>
      <w:sz w:val="20"/>
      <w:szCs w:val="20"/>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customStyle="1" w:styleId="13">
    <w:name w:val="Fließtext"/>
    <w:basedOn w:val="1"/>
    <w:autoRedefine/>
    <w:qFormat/>
    <w:uiPriority w:val="99"/>
    <w:pPr>
      <w:overflowPunct w:val="0"/>
      <w:autoSpaceDE w:val="0"/>
      <w:autoSpaceDN w:val="0"/>
      <w:adjustRightInd w:val="0"/>
    </w:pPr>
    <w:rPr>
      <w:kern w:val="28"/>
      <w:szCs w:val="20"/>
    </w:rPr>
  </w:style>
  <w:style w:type="character" w:customStyle="1" w:styleId="14">
    <w:name w:val="标题 2 字符"/>
    <w:basedOn w:val="11"/>
    <w:link w:val="4"/>
    <w:qFormat/>
    <w:uiPriority w:val="9"/>
    <w:rPr>
      <w:rFonts w:ascii="楷体" w:hAnsi="Calibri Light" w:eastAsia="楷体" w:cs="Times New Roman"/>
      <w:kern w:val="44"/>
      <w:sz w:val="32"/>
      <w:szCs w:val="32"/>
      <w:lang w:val="en-US" w:eastAsia="zh-CN" w:bidi="ar-SA"/>
    </w:rPr>
  </w:style>
  <w:style w:type="character" w:customStyle="1" w:styleId="15">
    <w:name w:val="标题 3 字符"/>
    <w:basedOn w:val="11"/>
    <w:link w:val="3"/>
    <w:qFormat/>
    <w:uiPriority w:val="9"/>
    <w:rPr>
      <w:bCs/>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2418</Words>
  <Characters>2509</Characters>
  <Lines>2</Lines>
  <Paragraphs>7</Paragraphs>
  <TotalTime>13</TotalTime>
  <ScaleCrop>false</ScaleCrop>
  <LinksUpToDate>false</LinksUpToDate>
  <CharactersWithSpaces>2518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2023-04-25T01:40:00Z</dcterms:created>
  <dc:creator>Administrator</dc:creator>
  <cp:lastModifiedBy>赵冰吉</cp:lastModifiedBy>
  <cp:lastPrinted>2026-01-20T00:59:00Z</cp:lastPrinted>
  <dcterms:modified xsi:type="dcterms:W3CDTF">2026-05-13T07:14:49Z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792C91A94EC6460382F4F0AEBABC4973_13</vt:lpwstr>
  </property>
  <property fmtid="{D5CDD505-2E9C-101B-9397-08002B2CF9AE}" pid="4" name="KSOTemplateDocerSaveRecord">
    <vt:lpwstr>eyJoZGlkIjoiMzMwNDE3YzhlZWYwODNlNTVmOGRkZjFmNGFlYjE3ZmUiLCJ1c2VySWQiOiIxNjE3MTg1NjAyIn0=</vt:lpwstr>
  </property>
</Properties>
</file>